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A60D" w14:textId="77777777" w:rsidR="003E4C80" w:rsidRPr="00B14B01" w:rsidRDefault="003E4C80" w:rsidP="003E4C80">
      <w:pPr>
        <w:numPr>
          <w:ilvl w:val="0"/>
          <w:numId w:val="12"/>
        </w:numPr>
        <w:shd w:val="clear" w:color="auto" w:fill="FFFFFF"/>
        <w:suppressAutoHyphens/>
        <w:autoSpaceDN w:val="0"/>
        <w:spacing w:after="0" w:line="240" w:lineRule="auto"/>
        <w:jc w:val="center"/>
        <w:textAlignment w:val="baseline"/>
        <w:rPr>
          <w:rFonts w:cstheme="minorHAnsi"/>
        </w:rPr>
      </w:pPr>
      <w:bookmarkStart w:id="0" w:name="_Hlk72748886"/>
      <w:r w:rsidRPr="00B14B01">
        <w:rPr>
          <w:rFonts w:cstheme="minorHAnsi"/>
          <w:b/>
          <w:sz w:val="28"/>
          <w:shd w:val="clear" w:color="auto" w:fill="D3D3D3"/>
          <w:lang w:eastAsia="en-GB"/>
        </w:rPr>
        <w:t>Our Lady of Lourdes Catholic Multi-Academy Trust</w:t>
      </w:r>
    </w:p>
    <w:bookmarkEnd w:id="0"/>
    <w:p w14:paraId="3DA12D5F"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zCs w:val="28"/>
          <w:lang w:eastAsia="en-GB"/>
        </w:rPr>
      </w:pPr>
    </w:p>
    <w:p w14:paraId="6B5657AC"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zCs w:val="28"/>
          <w:lang w:eastAsia="en-GB"/>
        </w:rPr>
      </w:pPr>
      <w:r w:rsidRPr="003E4C80">
        <w:rPr>
          <w:rFonts w:cstheme="minorHAnsi"/>
          <w:b/>
          <w:sz w:val="28"/>
          <w:szCs w:val="28"/>
          <w:lang w:eastAsia="en-GB"/>
        </w:rPr>
        <w:t>Job Description</w:t>
      </w:r>
    </w:p>
    <w:p w14:paraId="2422B73D"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zCs w:val="28"/>
          <w:lang w:eastAsia="en-GB"/>
        </w:rPr>
      </w:pPr>
      <w:r w:rsidRPr="003E4C80">
        <w:rPr>
          <w:rFonts w:cstheme="minorHAnsi"/>
          <w:b/>
          <w:sz w:val="28"/>
          <w:szCs w:val="28"/>
          <w:lang w:eastAsia="en-GB"/>
        </w:rPr>
        <w:t>Budget Manager</w:t>
      </w:r>
    </w:p>
    <w:p w14:paraId="62DC7806" w14:textId="77777777" w:rsidR="003E4C80" w:rsidRPr="003E4C80" w:rsidRDefault="003E4C80" w:rsidP="006139F5">
      <w:pPr>
        <w:keepNext/>
        <w:tabs>
          <w:tab w:val="left" w:pos="0"/>
        </w:tabs>
        <w:ind w:left="480" w:hanging="480"/>
        <w:outlineLvl w:val="7"/>
        <w:rPr>
          <w:rFonts w:cstheme="minorHAnsi"/>
          <w:b/>
          <w:lang w:eastAsia="zh-CN"/>
        </w:rPr>
      </w:pPr>
    </w:p>
    <w:p w14:paraId="67B12D4B" w14:textId="71F4FF7B" w:rsidR="003E4C80" w:rsidRPr="003E4C80" w:rsidRDefault="003E4C80" w:rsidP="006139F5">
      <w:pPr>
        <w:keepNext/>
        <w:tabs>
          <w:tab w:val="left" w:pos="0"/>
        </w:tabs>
        <w:spacing w:line="276" w:lineRule="auto"/>
        <w:ind w:left="480" w:hanging="480"/>
        <w:outlineLvl w:val="7"/>
        <w:rPr>
          <w:rFonts w:cstheme="minorHAnsi"/>
        </w:rPr>
      </w:pPr>
      <w:r w:rsidRPr="003E4C80">
        <w:rPr>
          <w:rFonts w:eastAsia="Calibri" w:cstheme="minorHAnsi"/>
          <w:b/>
          <w:i/>
          <w:sz w:val="24"/>
          <w:szCs w:val="24"/>
        </w:rPr>
        <w:t>Reporting to:</w:t>
      </w:r>
      <w:r w:rsidRPr="003E4C80">
        <w:rPr>
          <w:rFonts w:eastAsia="Calibri" w:cstheme="minorHAnsi"/>
          <w:sz w:val="24"/>
          <w:szCs w:val="24"/>
        </w:rPr>
        <w:t xml:space="preserve"> Senior Finance Manager</w:t>
      </w:r>
    </w:p>
    <w:p w14:paraId="54D727E6" w14:textId="5AE93B26" w:rsidR="003E4C80" w:rsidRPr="003E4C80" w:rsidRDefault="003E4C80" w:rsidP="006139F5">
      <w:pPr>
        <w:keepNext/>
        <w:tabs>
          <w:tab w:val="left" w:pos="0"/>
        </w:tabs>
        <w:spacing w:line="276" w:lineRule="auto"/>
        <w:ind w:left="2880" w:hanging="2880"/>
        <w:outlineLvl w:val="7"/>
        <w:rPr>
          <w:rFonts w:cstheme="minorHAnsi"/>
        </w:rPr>
      </w:pPr>
      <w:r w:rsidRPr="003E4C80">
        <w:rPr>
          <w:rFonts w:eastAsia="Calibri" w:cstheme="minorHAnsi"/>
          <w:b/>
          <w:i/>
          <w:sz w:val="24"/>
          <w:szCs w:val="24"/>
        </w:rPr>
        <w:t>Liaising with:</w:t>
      </w:r>
      <w:r w:rsidRPr="003E4C80">
        <w:rPr>
          <w:rFonts w:eastAsia="Calibri" w:cstheme="minorHAnsi"/>
          <w:sz w:val="24"/>
          <w:szCs w:val="24"/>
        </w:rPr>
        <w:t xml:space="preserve"> Trust Senior Leadership Team (SLT), Head Teachers, other colleagues,</w:t>
      </w:r>
      <w:r w:rsidR="006139F5">
        <w:rPr>
          <w:rFonts w:eastAsia="Calibri" w:cstheme="minorHAnsi"/>
          <w:sz w:val="24"/>
          <w:szCs w:val="24"/>
        </w:rPr>
        <w:t xml:space="preserve"> </w:t>
      </w:r>
      <w:r w:rsidRPr="003E4C80">
        <w:rPr>
          <w:rFonts w:eastAsia="Calibri" w:cstheme="minorHAnsi"/>
          <w:sz w:val="24"/>
          <w:szCs w:val="24"/>
        </w:rPr>
        <w:t>Trustees,</w:t>
      </w:r>
      <w:r w:rsidR="006139F5">
        <w:rPr>
          <w:rFonts w:eastAsia="Calibri" w:cstheme="minorHAnsi"/>
          <w:sz w:val="24"/>
          <w:szCs w:val="24"/>
        </w:rPr>
        <w:t xml:space="preserve"> </w:t>
      </w:r>
      <w:r w:rsidRPr="003E4C80">
        <w:rPr>
          <w:rFonts w:eastAsia="Calibri" w:cstheme="minorHAnsi"/>
          <w:sz w:val="24"/>
          <w:szCs w:val="24"/>
        </w:rPr>
        <w:t>Governors, NRCDES</w:t>
      </w:r>
    </w:p>
    <w:p w14:paraId="129D173E" w14:textId="1BD88809" w:rsidR="003E4C80" w:rsidRPr="003E4C80" w:rsidRDefault="003E4C80" w:rsidP="006139F5">
      <w:pPr>
        <w:keepNext/>
        <w:tabs>
          <w:tab w:val="left" w:pos="0"/>
        </w:tabs>
        <w:spacing w:line="276" w:lineRule="auto"/>
        <w:ind w:left="2880" w:hanging="2880"/>
        <w:outlineLvl w:val="7"/>
        <w:rPr>
          <w:rFonts w:cstheme="minorHAnsi"/>
        </w:rPr>
      </w:pPr>
      <w:r w:rsidRPr="003E4C80">
        <w:rPr>
          <w:rFonts w:eastAsia="Calibri" w:cstheme="minorHAnsi"/>
          <w:b/>
          <w:i/>
          <w:sz w:val="24"/>
          <w:szCs w:val="24"/>
        </w:rPr>
        <w:t xml:space="preserve">Grade/Salary: </w:t>
      </w:r>
      <w:r w:rsidRPr="003E4C80">
        <w:rPr>
          <w:rFonts w:eastAsia="Calibri" w:cstheme="minorHAnsi"/>
          <w:sz w:val="24"/>
          <w:szCs w:val="24"/>
        </w:rPr>
        <w:t>OLOL Grade 6</w:t>
      </w:r>
    </w:p>
    <w:p w14:paraId="7513320D" w14:textId="36D850AA" w:rsidR="003E4C80" w:rsidRPr="003E4C80" w:rsidRDefault="003E4C80" w:rsidP="006139F5">
      <w:pPr>
        <w:keepNext/>
        <w:tabs>
          <w:tab w:val="left" w:pos="0"/>
        </w:tabs>
        <w:spacing w:line="276" w:lineRule="auto"/>
        <w:ind w:left="2880" w:hanging="2880"/>
        <w:outlineLvl w:val="7"/>
        <w:rPr>
          <w:rFonts w:cstheme="minorHAnsi"/>
        </w:rPr>
      </w:pPr>
      <w:r w:rsidRPr="003E4C80">
        <w:rPr>
          <w:rFonts w:eastAsia="Calibri" w:cstheme="minorHAnsi"/>
          <w:b/>
          <w:i/>
          <w:sz w:val="24"/>
          <w:szCs w:val="24"/>
        </w:rPr>
        <w:t xml:space="preserve">Hours of work: </w:t>
      </w:r>
      <w:r w:rsidRPr="003E4C80">
        <w:rPr>
          <w:rFonts w:eastAsia="Calibri" w:cstheme="minorHAnsi"/>
          <w:sz w:val="24"/>
          <w:szCs w:val="24"/>
        </w:rPr>
        <w:t>15 hours per week</w:t>
      </w:r>
    </w:p>
    <w:p w14:paraId="66D8A245" w14:textId="16B961F6" w:rsidR="00D20806" w:rsidRPr="003E4C80" w:rsidRDefault="00D20806" w:rsidP="007C4F4E">
      <w:pPr>
        <w:pStyle w:val="ListParagraph"/>
        <w:spacing w:after="0"/>
        <w:rPr>
          <w:rFonts w:cstheme="minorHAnsi"/>
        </w:rPr>
      </w:pPr>
    </w:p>
    <w:p w14:paraId="1235676F" w14:textId="5A00122D" w:rsidR="003E4C80" w:rsidRPr="003E4C80" w:rsidRDefault="003E4C80" w:rsidP="003E4C80">
      <w:pPr>
        <w:jc w:val="both"/>
        <w:rPr>
          <w:rFonts w:eastAsia="Calibri" w:cstheme="minorHAnsi"/>
          <w:b/>
          <w:i/>
          <w:sz w:val="24"/>
          <w:szCs w:val="24"/>
        </w:rPr>
      </w:pPr>
      <w:r w:rsidRPr="003E4C80">
        <w:rPr>
          <w:rFonts w:eastAsia="Calibri" w:cstheme="minorHAnsi"/>
          <w:b/>
          <w:sz w:val="24"/>
          <w:szCs w:val="24"/>
        </w:rPr>
        <w:t>Core Purpose:</w:t>
      </w:r>
    </w:p>
    <w:p w14:paraId="25CDB8DC" w14:textId="77777777" w:rsidR="003E4C80" w:rsidRPr="003E4C80" w:rsidRDefault="003E4C80" w:rsidP="003E4C80">
      <w:pPr>
        <w:pStyle w:val="ListParagraph"/>
        <w:numPr>
          <w:ilvl w:val="0"/>
          <w:numId w:val="13"/>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Working alongside the Trust’s Senior Finance Team and to support Headteachers, taking responsibility for the full budget management process for an allocated number of individual academies, ensuring that these academies operate within their allocated budget while meeting their key development priorities. </w:t>
      </w:r>
    </w:p>
    <w:p w14:paraId="603997DA" w14:textId="77777777" w:rsidR="003E4C80" w:rsidRPr="003E4C80" w:rsidRDefault="003E4C80" w:rsidP="003E4C80">
      <w:pPr>
        <w:spacing w:after="200" w:line="276" w:lineRule="auto"/>
        <w:jc w:val="both"/>
        <w:rPr>
          <w:rFonts w:cstheme="minorHAnsi"/>
        </w:rPr>
      </w:pPr>
      <w:r w:rsidRPr="003E4C80">
        <w:rPr>
          <w:rFonts w:eastAsia="Calibri" w:cstheme="minorHAnsi"/>
          <w:b/>
          <w:sz w:val="24"/>
          <w:szCs w:val="24"/>
        </w:rPr>
        <w:t>Specific areas of responsibility and key tasks:</w:t>
      </w:r>
    </w:p>
    <w:p w14:paraId="1C836E6C" w14:textId="77777777" w:rsidR="003E4C80" w:rsidRPr="003E4C80" w:rsidRDefault="003E4C80" w:rsidP="003E4C80">
      <w:pPr>
        <w:spacing w:after="200" w:line="276" w:lineRule="auto"/>
        <w:jc w:val="both"/>
        <w:rPr>
          <w:rFonts w:cstheme="minorHAnsi"/>
        </w:rPr>
      </w:pPr>
      <w:r w:rsidRPr="003E4C80">
        <w:rPr>
          <w:rFonts w:eastAsia="Calibri" w:cstheme="minorHAnsi"/>
          <w:b/>
          <w:i/>
          <w:sz w:val="24"/>
          <w:szCs w:val="24"/>
        </w:rPr>
        <w:t>Budget Management</w:t>
      </w:r>
    </w:p>
    <w:p w14:paraId="792FF21C"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Prepare budgets, forecasts and </w:t>
      </w:r>
      <w:proofErr w:type="gramStart"/>
      <w:r w:rsidRPr="003E4C80">
        <w:rPr>
          <w:rFonts w:eastAsia="Calibri" w:cstheme="minorHAnsi"/>
          <w:sz w:val="24"/>
          <w:szCs w:val="24"/>
        </w:rPr>
        <w:t>short and medium term</w:t>
      </w:r>
      <w:proofErr w:type="gramEnd"/>
      <w:r w:rsidRPr="003E4C80">
        <w:rPr>
          <w:rFonts w:eastAsia="Calibri" w:cstheme="minorHAnsi"/>
          <w:sz w:val="24"/>
          <w:szCs w:val="24"/>
        </w:rPr>
        <w:t xml:space="preserve"> financial plans for individual academies within the Multi-Academy Trust.</w:t>
      </w:r>
    </w:p>
    <w:p w14:paraId="3F6803F3"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Actively monitor performance against the agreed budgets and budget headings, meeting with Headteachers and budget holders and taking prompt appropriate action where necessary to ensure each academy operates within its allocated budget. </w:t>
      </w:r>
    </w:p>
    <w:p w14:paraId="146C4AC9"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Meet with Headteachers to discuss their school priorities and ensure these are factored into the school’s budget planning.</w:t>
      </w:r>
    </w:p>
    <w:p w14:paraId="197DBBC4"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Prepare and regularly update a staffing budget for an allocated number of schools, reconciling the information to the staffing establishment held within the HR system and ensure that any agreed changes were captured and updated promptly. </w:t>
      </w:r>
    </w:p>
    <w:p w14:paraId="07991145"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Propose revisions to the budget if necessary, in response to significant or unforeseen developments.</w:t>
      </w:r>
    </w:p>
    <w:p w14:paraId="163826FC"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lastRenderedPageBreak/>
        <w:t>Ensure transactional data in PS Financials has been processed accurately and update and amend if necessary.</w:t>
      </w:r>
    </w:p>
    <w:p w14:paraId="033C5DC1"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Produce monthly reports for individual academies, including the preparation of financial information and key performance indicators for internal review and presentation to the relevant committees.</w:t>
      </w:r>
    </w:p>
    <w:p w14:paraId="3DE55E2D"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Updating the Trust’s budget management system with the latest pay scale changes, funding rates and coding structures.</w:t>
      </w:r>
    </w:p>
    <w:p w14:paraId="235AAC82"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Work as part of the senior finance team, sharing tasks and supporting colleagues with their allocated school budgets to ensure deadlines are met.</w:t>
      </w:r>
    </w:p>
    <w:p w14:paraId="6898BEA2" w14:textId="6CBE6F3C"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Attend the weekly recruitment panel to assess and authorise school vacancy requests. There may be instances where a quicker response is </w:t>
      </w:r>
      <w:r w:rsidR="006139F5" w:rsidRPr="003E4C80">
        <w:rPr>
          <w:rFonts w:eastAsia="Calibri" w:cstheme="minorHAnsi"/>
          <w:sz w:val="24"/>
          <w:szCs w:val="24"/>
        </w:rPr>
        <w:t>required,</w:t>
      </w:r>
      <w:r w:rsidRPr="003E4C80">
        <w:rPr>
          <w:rFonts w:eastAsia="Calibri" w:cstheme="minorHAnsi"/>
          <w:sz w:val="24"/>
          <w:szCs w:val="24"/>
        </w:rPr>
        <w:t xml:space="preserve"> and these requests will need to be considered outside of the meeting.</w:t>
      </w:r>
    </w:p>
    <w:p w14:paraId="46D62AA9" w14:textId="77777777" w:rsidR="003E4C80" w:rsidRPr="003E4C80" w:rsidRDefault="003E4C80" w:rsidP="003E4C80">
      <w:pPr>
        <w:spacing w:after="200" w:line="276" w:lineRule="auto"/>
        <w:jc w:val="both"/>
        <w:rPr>
          <w:rFonts w:eastAsia="Calibri" w:cstheme="minorHAnsi"/>
          <w:b/>
          <w:i/>
          <w:sz w:val="24"/>
          <w:szCs w:val="24"/>
        </w:rPr>
      </w:pPr>
      <w:r w:rsidRPr="003E4C80">
        <w:rPr>
          <w:rFonts w:eastAsia="Calibri" w:cstheme="minorHAnsi"/>
          <w:b/>
          <w:i/>
          <w:sz w:val="24"/>
          <w:szCs w:val="24"/>
        </w:rPr>
        <w:t>Audit and Compliance</w:t>
      </w:r>
    </w:p>
    <w:p w14:paraId="212F7F1F"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Ensure the maintenance of adequate records for audit and compliance purposes.</w:t>
      </w:r>
    </w:p>
    <w:p w14:paraId="362C870D"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Implement any recommendations on financial control from the auditors or Education and Skills Funding Agency.</w:t>
      </w:r>
    </w:p>
    <w:p w14:paraId="6545DFCD"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Ensure the Multi-Academy Trust and the individual academies are compliant with the Academies Financial Handbook and the Trust’s own financial regulations, </w:t>
      </w:r>
      <w:proofErr w:type="gramStart"/>
      <w:r w:rsidRPr="003E4C80">
        <w:rPr>
          <w:rFonts w:eastAsia="Calibri" w:cstheme="minorHAnsi"/>
          <w:sz w:val="24"/>
          <w:szCs w:val="24"/>
        </w:rPr>
        <w:t>policy</w:t>
      </w:r>
      <w:proofErr w:type="gramEnd"/>
      <w:r w:rsidRPr="003E4C80">
        <w:rPr>
          <w:rFonts w:eastAsia="Calibri" w:cstheme="minorHAnsi"/>
          <w:sz w:val="24"/>
          <w:szCs w:val="24"/>
        </w:rPr>
        <w:t xml:space="preserve"> and procedures. </w:t>
      </w:r>
    </w:p>
    <w:p w14:paraId="44A7B2C2"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To support the Finance Director in preparing and submitting annual returns to the Education and Skills Funding Agency, </w:t>
      </w:r>
      <w:proofErr w:type="gramStart"/>
      <w:r w:rsidRPr="003E4C80">
        <w:rPr>
          <w:rFonts w:eastAsia="Calibri" w:cstheme="minorHAnsi"/>
          <w:sz w:val="24"/>
          <w:szCs w:val="24"/>
        </w:rPr>
        <w:t>e.g.</w:t>
      </w:r>
      <w:proofErr w:type="gramEnd"/>
      <w:r w:rsidRPr="003E4C80">
        <w:rPr>
          <w:rFonts w:eastAsia="Calibri" w:cstheme="minorHAnsi"/>
          <w:sz w:val="24"/>
          <w:szCs w:val="24"/>
        </w:rPr>
        <w:t xml:space="preserve"> Budget Forecast Return(s).</w:t>
      </w:r>
    </w:p>
    <w:p w14:paraId="70819CE8" w14:textId="77777777" w:rsidR="003E4C80" w:rsidRPr="003E4C80" w:rsidRDefault="003E4C80" w:rsidP="003E4C80">
      <w:pPr>
        <w:spacing w:after="200" w:line="276" w:lineRule="auto"/>
        <w:jc w:val="both"/>
        <w:rPr>
          <w:rFonts w:eastAsia="Calibri" w:cstheme="minorHAnsi"/>
          <w:b/>
          <w:i/>
          <w:sz w:val="24"/>
          <w:szCs w:val="24"/>
        </w:rPr>
      </w:pPr>
      <w:r w:rsidRPr="003E4C80">
        <w:rPr>
          <w:rFonts w:eastAsia="Calibri" w:cstheme="minorHAnsi"/>
          <w:b/>
          <w:i/>
          <w:sz w:val="24"/>
          <w:szCs w:val="24"/>
        </w:rPr>
        <w:t>Financial Efficiency and Value for Money</w:t>
      </w:r>
    </w:p>
    <w:p w14:paraId="376D67B8"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Undertake benchmarking analysis to provide evidence of value for money and to highlight potential opportunities to save money across the Trust.</w:t>
      </w:r>
    </w:p>
    <w:p w14:paraId="7B30C5FF" w14:textId="77777777" w:rsidR="003E4C80" w:rsidRPr="003E4C80" w:rsidRDefault="003E4C80" w:rsidP="003E4C80">
      <w:pPr>
        <w:pStyle w:val="ListParagraph"/>
        <w:numPr>
          <w:ilvl w:val="0"/>
          <w:numId w:val="14"/>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Co-ordinate any projects as may be required by the Finance Director </w:t>
      </w:r>
      <w:proofErr w:type="gramStart"/>
      <w:r w:rsidRPr="003E4C80">
        <w:rPr>
          <w:rFonts w:eastAsia="Calibri" w:cstheme="minorHAnsi"/>
          <w:sz w:val="24"/>
          <w:szCs w:val="24"/>
        </w:rPr>
        <w:t>e.g.</w:t>
      </w:r>
      <w:proofErr w:type="gramEnd"/>
      <w:r w:rsidRPr="003E4C80">
        <w:rPr>
          <w:rFonts w:eastAsia="Calibri" w:cstheme="minorHAnsi"/>
          <w:sz w:val="24"/>
          <w:szCs w:val="24"/>
        </w:rPr>
        <w:t xml:space="preserve"> preparing financial projections for projects under consideration, e.g. staffing alternatives, capital developments etc.</w:t>
      </w:r>
    </w:p>
    <w:p w14:paraId="602CF9E4" w14:textId="77777777" w:rsidR="003E4C80" w:rsidRPr="003E4C80" w:rsidRDefault="003E4C80" w:rsidP="003E4C80">
      <w:pPr>
        <w:spacing w:after="200" w:line="276" w:lineRule="auto"/>
        <w:jc w:val="both"/>
        <w:rPr>
          <w:rFonts w:eastAsia="Calibri" w:cstheme="minorHAnsi"/>
          <w:b/>
          <w:i/>
          <w:sz w:val="24"/>
          <w:szCs w:val="24"/>
        </w:rPr>
      </w:pPr>
    </w:p>
    <w:p w14:paraId="1928C4C5" w14:textId="78012D1F" w:rsidR="003E4C80" w:rsidRPr="003E4C80" w:rsidRDefault="003E4C80" w:rsidP="003E4C80">
      <w:pPr>
        <w:spacing w:after="200" w:line="276" w:lineRule="auto"/>
        <w:jc w:val="both"/>
        <w:rPr>
          <w:rFonts w:eastAsia="Calibri" w:cstheme="minorHAnsi"/>
          <w:b/>
          <w:i/>
          <w:sz w:val="24"/>
          <w:szCs w:val="24"/>
        </w:rPr>
      </w:pPr>
      <w:r w:rsidRPr="003E4C80">
        <w:rPr>
          <w:rFonts w:eastAsia="Calibri" w:cstheme="minorHAnsi"/>
          <w:b/>
          <w:i/>
          <w:sz w:val="24"/>
          <w:szCs w:val="24"/>
        </w:rPr>
        <w:lastRenderedPageBreak/>
        <w:t>Additional Duties</w:t>
      </w:r>
    </w:p>
    <w:p w14:paraId="4C117A3B" w14:textId="77777777" w:rsidR="003E4C80" w:rsidRPr="003E4C80" w:rsidRDefault="003E4C80" w:rsidP="003E4C80">
      <w:pPr>
        <w:pStyle w:val="ListParagraph"/>
        <w:numPr>
          <w:ilvl w:val="0"/>
          <w:numId w:val="15"/>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 xml:space="preserve">Sharing and following best practice to improve systems and processes. </w:t>
      </w:r>
    </w:p>
    <w:p w14:paraId="558AF9E8" w14:textId="77777777" w:rsidR="003E4C80" w:rsidRPr="003E4C80" w:rsidRDefault="003E4C80" w:rsidP="003E4C80">
      <w:pPr>
        <w:pStyle w:val="ListParagraph"/>
        <w:numPr>
          <w:ilvl w:val="0"/>
          <w:numId w:val="15"/>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To attend meetings as required.</w:t>
      </w:r>
    </w:p>
    <w:p w14:paraId="4FA21644" w14:textId="77777777" w:rsidR="003E4C80" w:rsidRPr="003E4C80" w:rsidRDefault="003E4C80" w:rsidP="003E4C80">
      <w:pPr>
        <w:pStyle w:val="ListParagraph"/>
        <w:numPr>
          <w:ilvl w:val="0"/>
          <w:numId w:val="15"/>
        </w:numPr>
        <w:suppressAutoHyphens/>
        <w:autoSpaceDN w:val="0"/>
        <w:spacing w:after="200" w:line="276" w:lineRule="auto"/>
        <w:contextualSpacing w:val="0"/>
        <w:jc w:val="both"/>
        <w:textAlignment w:val="baseline"/>
        <w:rPr>
          <w:rFonts w:eastAsia="Calibri" w:cstheme="minorHAnsi"/>
          <w:sz w:val="24"/>
          <w:szCs w:val="24"/>
        </w:rPr>
      </w:pPr>
      <w:r w:rsidRPr="003E4C80">
        <w:rPr>
          <w:rFonts w:eastAsia="Calibri" w:cstheme="minorHAnsi"/>
          <w:sz w:val="24"/>
          <w:szCs w:val="24"/>
        </w:rPr>
        <w:t>To take action to improve outcomes for young people and to support all academies in the Trust to be outstanding.</w:t>
      </w:r>
    </w:p>
    <w:p w14:paraId="7AE1D29E" w14:textId="40DABE82" w:rsidR="003E4C80" w:rsidRPr="003E4C80" w:rsidRDefault="003E4C80" w:rsidP="003E4C80">
      <w:pPr>
        <w:pStyle w:val="ListParagraph"/>
        <w:numPr>
          <w:ilvl w:val="0"/>
          <w:numId w:val="15"/>
        </w:numPr>
        <w:autoSpaceDN w:val="0"/>
        <w:spacing w:after="200" w:line="276" w:lineRule="auto"/>
        <w:contextualSpacing w:val="0"/>
        <w:jc w:val="both"/>
        <w:rPr>
          <w:rFonts w:eastAsia="Calibri" w:cstheme="minorHAnsi"/>
          <w:sz w:val="24"/>
          <w:szCs w:val="24"/>
        </w:rPr>
      </w:pPr>
      <w:r w:rsidRPr="003E4C80">
        <w:rPr>
          <w:rFonts w:eastAsia="Calibri" w:cstheme="minorHAnsi"/>
          <w:sz w:val="24"/>
          <w:szCs w:val="24"/>
        </w:rPr>
        <w:t>To perform any task or duty under the reasonable direction of the Finance Director or another member of the Executive team.</w:t>
      </w:r>
    </w:p>
    <w:p w14:paraId="7DFD8578" w14:textId="77777777" w:rsidR="003E4C80" w:rsidRPr="00D20806" w:rsidRDefault="003E4C80" w:rsidP="003E4C80">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01F64096" w14:textId="77777777" w:rsidR="003E4C80" w:rsidRPr="00D20806" w:rsidRDefault="003E4C80" w:rsidP="003E4C80">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5F1874DC" w14:textId="0E89218A" w:rsidR="003E4C80" w:rsidRPr="00D20806" w:rsidRDefault="003E4C80" w:rsidP="003E4C80">
      <w:pPr>
        <w:pStyle w:val="ListParagraph"/>
        <w:ind w:left="0"/>
        <w:rPr>
          <w:sz w:val="20"/>
          <w:szCs w:val="20"/>
        </w:rPr>
      </w:pPr>
      <w:r w:rsidRPr="00D20806">
        <w:rPr>
          <w:i/>
          <w:iCs/>
          <w:sz w:val="20"/>
          <w:szCs w:val="20"/>
        </w:rPr>
        <w:t>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entailed and would not in itself justify a reconsideration of the grading of the post.</w:t>
      </w:r>
    </w:p>
    <w:p w14:paraId="533F708A" w14:textId="77777777" w:rsidR="003E4C80" w:rsidRDefault="003E4C80" w:rsidP="003E4C80">
      <w:pPr>
        <w:shd w:val="clear" w:color="auto" w:fill="FFFFFF"/>
        <w:rPr>
          <w:rFonts w:ascii="Trebuchet MS" w:hAnsi="Trebuchet MS" w:cs="Tahoma"/>
          <w:b/>
          <w:sz w:val="28"/>
          <w:szCs w:val="28"/>
          <w:lang w:eastAsia="en-GB"/>
        </w:rPr>
      </w:pPr>
    </w:p>
    <w:p w14:paraId="2162145C"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FF5C6F4"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9F4B5F9"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582A87EC"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7CB48980"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26CA8F8E"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33664C10"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475AD425"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A70D9A8"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A387A13"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8921B0E"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49D39D5C"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3ADA90F9"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6EDD79C6"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20991209"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125057D7"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40552BEA"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0DB060E2"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pPr>
    </w:p>
    <w:p w14:paraId="43CD4F20" w14:textId="428172DA"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rPr>
      </w:pPr>
      <w:r w:rsidRPr="003E4C80">
        <w:rPr>
          <w:rFonts w:cstheme="minorHAnsi"/>
          <w:b/>
          <w:sz w:val="28"/>
          <w:shd w:val="clear" w:color="auto" w:fill="D3D3D3"/>
          <w:lang w:eastAsia="en-GB"/>
        </w:rPr>
        <w:lastRenderedPageBreak/>
        <w:t>Our Lady of Lourdes Catholic Multi-Academy Trust</w:t>
      </w:r>
    </w:p>
    <w:p w14:paraId="3661552B"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hd w:val="clear" w:color="auto" w:fill="D3D3D3"/>
          <w:lang w:eastAsia="en-GB"/>
        </w:rPr>
      </w:pPr>
    </w:p>
    <w:p w14:paraId="4F0D2498"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zCs w:val="28"/>
          <w:lang w:eastAsia="en-GB"/>
        </w:rPr>
      </w:pPr>
      <w:r w:rsidRPr="003E4C80">
        <w:rPr>
          <w:rFonts w:cstheme="minorHAnsi"/>
          <w:b/>
          <w:sz w:val="28"/>
          <w:szCs w:val="28"/>
          <w:lang w:eastAsia="en-GB"/>
        </w:rPr>
        <w:t>Person Specification</w:t>
      </w:r>
    </w:p>
    <w:p w14:paraId="60282500" w14:textId="77777777" w:rsidR="003E4C80" w:rsidRPr="003E4C80" w:rsidRDefault="003E4C80" w:rsidP="003E4C80">
      <w:pPr>
        <w:numPr>
          <w:ilvl w:val="0"/>
          <w:numId w:val="12"/>
        </w:numPr>
        <w:shd w:val="clear" w:color="auto" w:fill="FFFFFF"/>
        <w:suppressAutoHyphens/>
        <w:autoSpaceDN w:val="0"/>
        <w:spacing w:after="0" w:line="240" w:lineRule="auto"/>
        <w:jc w:val="center"/>
        <w:textAlignment w:val="baseline"/>
        <w:rPr>
          <w:rFonts w:cstheme="minorHAnsi"/>
          <w:b/>
          <w:sz w:val="28"/>
          <w:szCs w:val="28"/>
          <w:lang w:eastAsia="en-GB"/>
        </w:rPr>
      </w:pPr>
      <w:r w:rsidRPr="003E4C80">
        <w:rPr>
          <w:rFonts w:cstheme="minorHAnsi"/>
          <w:b/>
          <w:sz w:val="28"/>
          <w:szCs w:val="28"/>
          <w:lang w:eastAsia="en-GB"/>
        </w:rPr>
        <w:t>Budget Manager</w:t>
      </w:r>
    </w:p>
    <w:p w14:paraId="35775539" w14:textId="77777777" w:rsidR="003E4C80" w:rsidRPr="003E4C80" w:rsidRDefault="003E4C80" w:rsidP="003E4C80">
      <w:pPr>
        <w:ind w:left="480" w:hanging="480"/>
        <w:jc w:val="both"/>
        <w:rPr>
          <w:rFonts w:cstheme="minorHAnsi"/>
          <w:b/>
          <w:sz w:val="8"/>
          <w:lang w:eastAsia="zh-CN"/>
        </w:rPr>
      </w:pPr>
    </w:p>
    <w:tbl>
      <w:tblPr>
        <w:tblW w:w="8400" w:type="dxa"/>
        <w:jc w:val="center"/>
        <w:tblLayout w:type="fixed"/>
        <w:tblCellMar>
          <w:left w:w="10" w:type="dxa"/>
          <w:right w:w="10" w:type="dxa"/>
        </w:tblCellMar>
        <w:tblLook w:val="0000" w:firstRow="0" w:lastRow="0" w:firstColumn="0" w:lastColumn="0" w:noHBand="0" w:noVBand="0"/>
      </w:tblPr>
      <w:tblGrid>
        <w:gridCol w:w="6480"/>
        <w:gridCol w:w="960"/>
        <w:gridCol w:w="960"/>
      </w:tblGrid>
      <w:tr w:rsidR="003E4C80" w:rsidRPr="003E4C80" w14:paraId="799FEB1C" w14:textId="77777777" w:rsidTr="000575D3">
        <w:trPr>
          <w:trHeight w:val="505"/>
          <w:jc w:val="center"/>
        </w:trPr>
        <w:tc>
          <w:tcPr>
            <w:tcW w:w="648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3E0D2F4B" w14:textId="77777777" w:rsidR="003E4C80" w:rsidRPr="003E4C80" w:rsidRDefault="003E4C80" w:rsidP="000575D3">
            <w:pPr>
              <w:rPr>
                <w:rFonts w:cstheme="minorHAnsi"/>
                <w:b/>
                <w:lang w:eastAsia="zh-CN"/>
              </w:rPr>
            </w:pPr>
            <w:r w:rsidRPr="003E4C80">
              <w:rPr>
                <w:rFonts w:cstheme="minorHAnsi"/>
                <w:b/>
                <w:lang w:eastAsia="zh-CN"/>
              </w:rPr>
              <w:t>A</w:t>
            </w:r>
            <w:r w:rsidRPr="003E4C80">
              <w:rPr>
                <w:rFonts w:cstheme="minorHAnsi"/>
                <w:b/>
                <w:lang w:eastAsia="zh-CN"/>
              </w:rPr>
              <w:tab/>
              <w:t>Training and Qualifications</w:t>
            </w:r>
          </w:p>
        </w:tc>
        <w:tc>
          <w:tcPr>
            <w:tcW w:w="96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1ADC23F2" w14:textId="77777777" w:rsidR="003E4C80" w:rsidRPr="003E4C80" w:rsidRDefault="003E4C80" w:rsidP="000575D3">
            <w:pPr>
              <w:keepNext/>
              <w:snapToGrid w:val="0"/>
              <w:ind w:left="-108" w:right="-108"/>
              <w:jc w:val="center"/>
              <w:rPr>
                <w:rFonts w:cstheme="minorHAnsi"/>
                <w:b/>
                <w:lang w:eastAsia="zh-CN"/>
              </w:rPr>
            </w:pPr>
            <w:r w:rsidRPr="003E4C80">
              <w:rPr>
                <w:rFonts w:cstheme="minorHAnsi"/>
                <w:b/>
                <w:lang w:eastAsia="zh-CN"/>
              </w:rPr>
              <w:t>Essential</w:t>
            </w:r>
          </w:p>
        </w:tc>
        <w:tc>
          <w:tcPr>
            <w:tcW w:w="96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A5BAA46" w14:textId="77777777" w:rsidR="003E4C80" w:rsidRPr="003E4C80" w:rsidRDefault="003E4C80" w:rsidP="000575D3">
            <w:pPr>
              <w:snapToGrid w:val="0"/>
              <w:ind w:right="-108" w:hanging="108"/>
              <w:jc w:val="center"/>
              <w:rPr>
                <w:rFonts w:cstheme="minorHAnsi"/>
                <w:b/>
                <w:lang w:eastAsia="zh-CN"/>
              </w:rPr>
            </w:pPr>
            <w:r w:rsidRPr="003E4C80">
              <w:rPr>
                <w:rFonts w:cstheme="minorHAnsi"/>
                <w:b/>
                <w:lang w:eastAsia="zh-CN"/>
              </w:rPr>
              <w:t>Desirable</w:t>
            </w:r>
          </w:p>
        </w:tc>
      </w:tr>
      <w:tr w:rsidR="003E4C80" w:rsidRPr="003E4C80" w14:paraId="02DA4B84" w14:textId="77777777" w:rsidTr="000575D3">
        <w:trPr>
          <w:trHeight w:val="464"/>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B8D68" w14:textId="77777777" w:rsidR="003E4C80" w:rsidRPr="003E4C80" w:rsidRDefault="003E4C80" w:rsidP="000575D3">
            <w:pPr>
              <w:snapToGrid w:val="0"/>
              <w:rPr>
                <w:rFonts w:cstheme="minorHAnsi"/>
              </w:rPr>
            </w:pPr>
            <w:r w:rsidRPr="003E4C80">
              <w:rPr>
                <w:rFonts w:cstheme="minorHAnsi"/>
                <w:lang w:eastAsia="zh-CN"/>
              </w:rPr>
              <w:t>AAT Professional Diploma in Accounting, or able to demonstrate equivalent experience</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3C888D"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F64C8" w14:textId="77777777" w:rsidR="003E4C80" w:rsidRPr="003E4C80" w:rsidRDefault="003E4C80" w:rsidP="000575D3">
            <w:pPr>
              <w:snapToGrid w:val="0"/>
              <w:jc w:val="center"/>
              <w:rPr>
                <w:rFonts w:cstheme="minorHAnsi"/>
                <w:b/>
                <w:lang w:eastAsia="zh-CN"/>
              </w:rPr>
            </w:pPr>
            <w:r w:rsidRPr="003E4C80">
              <w:rPr>
                <w:rFonts w:eastAsia="Wingdings" w:cstheme="minorHAnsi"/>
                <w:b/>
                <w:lang w:eastAsia="zh-CN"/>
              </w:rPr>
              <w:t>Y</w:t>
            </w:r>
          </w:p>
        </w:tc>
      </w:tr>
      <w:tr w:rsidR="003E4C80" w:rsidRPr="003E4C80" w14:paraId="7F1C89FC" w14:textId="77777777" w:rsidTr="000575D3">
        <w:trPr>
          <w:trHeight w:val="464"/>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8FA7ED" w14:textId="77777777" w:rsidR="003E4C80" w:rsidRPr="003E4C80" w:rsidRDefault="003E4C80" w:rsidP="000575D3">
            <w:pPr>
              <w:snapToGrid w:val="0"/>
              <w:rPr>
                <w:rFonts w:cstheme="minorHAnsi"/>
                <w:lang w:eastAsia="zh-CN"/>
              </w:rPr>
            </w:pPr>
            <w:r w:rsidRPr="003E4C80">
              <w:rPr>
                <w:rFonts w:cstheme="minorHAnsi"/>
                <w:lang w:eastAsia="zh-CN"/>
              </w:rPr>
              <w:t>Educated to A Level or above, including a minimum of GCSE (or equivalent) grade C in maths and English</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29DF95" w14:textId="77777777" w:rsidR="003E4C80" w:rsidRPr="003E4C80" w:rsidRDefault="003E4C80" w:rsidP="000575D3">
            <w:pPr>
              <w:snapToGrid w:val="0"/>
              <w:jc w:val="center"/>
              <w:rPr>
                <w:rFonts w:cstheme="minorHAnsi"/>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30F3D" w14:textId="77777777" w:rsidR="003E4C80" w:rsidRPr="003E4C80" w:rsidRDefault="003E4C80" w:rsidP="000575D3">
            <w:pPr>
              <w:snapToGrid w:val="0"/>
              <w:jc w:val="center"/>
              <w:rPr>
                <w:rFonts w:cstheme="minorHAnsi"/>
                <w:b/>
                <w:lang w:eastAsia="zh-CN"/>
              </w:rPr>
            </w:pPr>
          </w:p>
        </w:tc>
      </w:tr>
      <w:tr w:rsidR="003E4C80" w:rsidRPr="003E4C80" w14:paraId="38BF1D24" w14:textId="77777777" w:rsidTr="000575D3">
        <w:trPr>
          <w:trHeight w:val="464"/>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68395" w14:textId="77777777" w:rsidR="003E4C80" w:rsidRPr="003E4C80" w:rsidRDefault="003E4C80" w:rsidP="000575D3">
            <w:pPr>
              <w:snapToGrid w:val="0"/>
              <w:rPr>
                <w:rFonts w:cstheme="minorHAnsi"/>
                <w:lang w:eastAsia="zh-CN"/>
              </w:rPr>
            </w:pPr>
            <w:r w:rsidRPr="003E4C80">
              <w:rPr>
                <w:rFonts w:cstheme="minorHAnsi"/>
                <w:lang w:eastAsia="zh-CN"/>
              </w:rPr>
              <w:t>Educated to degree level 2:1 or above in a relevant subject or equivalent professional qualification</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52A87F" w14:textId="77777777" w:rsidR="003E4C80" w:rsidRPr="003E4C80" w:rsidRDefault="003E4C80" w:rsidP="000575D3">
            <w:pPr>
              <w:snapToGrid w:val="0"/>
              <w:jc w:val="center"/>
              <w:rPr>
                <w:rFont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E0E8" w14:textId="77777777" w:rsidR="003E4C80" w:rsidRPr="003E4C80" w:rsidRDefault="003E4C80" w:rsidP="000575D3">
            <w:pPr>
              <w:snapToGrid w:val="0"/>
              <w:jc w:val="center"/>
              <w:rPr>
                <w:rFonts w:cstheme="minorHAnsi"/>
              </w:rPr>
            </w:pPr>
            <w:r w:rsidRPr="003E4C80">
              <w:rPr>
                <w:rFonts w:cstheme="minorHAnsi"/>
                <w:b/>
                <w:lang w:eastAsia="zh-CN"/>
              </w:rPr>
              <w:t>Y</w:t>
            </w:r>
          </w:p>
        </w:tc>
      </w:tr>
      <w:tr w:rsidR="003E4C80" w:rsidRPr="003E4C80" w14:paraId="4348DA0C" w14:textId="77777777" w:rsidTr="000575D3">
        <w:trPr>
          <w:trHeight w:val="464"/>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DC778" w14:textId="77777777" w:rsidR="003E4C80" w:rsidRPr="003E4C80" w:rsidRDefault="003E4C80" w:rsidP="000575D3">
            <w:pPr>
              <w:snapToGrid w:val="0"/>
              <w:rPr>
                <w:rFonts w:cstheme="minorHAnsi"/>
                <w:lang w:eastAsia="zh-CN"/>
              </w:rPr>
            </w:pPr>
            <w:r w:rsidRPr="003E4C80">
              <w:rPr>
                <w:rFonts w:cstheme="minorHAnsi"/>
                <w:lang w:eastAsia="zh-CN"/>
              </w:rPr>
              <w:t>Commitment to ongoing professional development</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6A14D1" w14:textId="77777777" w:rsidR="003E4C80" w:rsidRPr="003E4C80" w:rsidRDefault="003E4C80" w:rsidP="000575D3">
            <w:pPr>
              <w:snapToGrid w:val="0"/>
              <w:jc w:val="center"/>
              <w:rPr>
                <w:rFonts w:cstheme="minorHAnsi"/>
                <w:b/>
                <w:lang w:eastAsia="zh-CN"/>
              </w:rPr>
            </w:pPr>
            <w:r w:rsidRPr="003E4C80">
              <w:rPr>
                <w:rFont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D880A" w14:textId="77777777" w:rsidR="003E4C80" w:rsidRPr="003E4C80" w:rsidRDefault="003E4C80" w:rsidP="000575D3">
            <w:pPr>
              <w:snapToGrid w:val="0"/>
              <w:jc w:val="center"/>
              <w:rPr>
                <w:rFonts w:eastAsia="Wingdings" w:cstheme="minorHAnsi"/>
                <w:b/>
                <w:lang w:eastAsia="zh-CN"/>
              </w:rPr>
            </w:pPr>
          </w:p>
        </w:tc>
      </w:tr>
      <w:tr w:rsidR="003E4C80" w:rsidRPr="003E4C80" w14:paraId="1645E284" w14:textId="77777777" w:rsidTr="000575D3">
        <w:trPr>
          <w:trHeight w:val="505"/>
          <w:jc w:val="center"/>
        </w:trPr>
        <w:tc>
          <w:tcPr>
            <w:tcW w:w="64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E1E635" w14:textId="77777777" w:rsidR="003E4C80" w:rsidRPr="003E4C80" w:rsidRDefault="003E4C80" w:rsidP="000575D3">
            <w:pPr>
              <w:snapToGrid w:val="0"/>
              <w:rPr>
                <w:rFonts w:cstheme="minorHAnsi"/>
                <w:lang w:eastAsia="zh-CN"/>
              </w:rPr>
            </w:pPr>
          </w:p>
        </w:tc>
        <w:tc>
          <w:tcPr>
            <w:tcW w:w="96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1497603"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bottom w:val="single" w:sz="4" w:space="0" w:color="000000"/>
              <w:right w:val="single" w:sz="4" w:space="0" w:color="FFFFFF"/>
            </w:tcBorders>
            <w:shd w:val="clear" w:color="auto" w:fill="auto"/>
            <w:tcMar>
              <w:top w:w="0" w:type="dxa"/>
              <w:left w:w="108" w:type="dxa"/>
              <w:bottom w:w="0" w:type="dxa"/>
              <w:right w:w="108" w:type="dxa"/>
            </w:tcMar>
            <w:vAlign w:val="center"/>
          </w:tcPr>
          <w:p w14:paraId="5A414D78" w14:textId="77777777" w:rsidR="003E4C80" w:rsidRPr="003E4C80" w:rsidRDefault="003E4C80" w:rsidP="000575D3">
            <w:pPr>
              <w:snapToGrid w:val="0"/>
              <w:jc w:val="center"/>
              <w:rPr>
                <w:rFonts w:eastAsia="Wingdings" w:cstheme="minorHAnsi"/>
                <w:b/>
                <w:lang w:eastAsia="zh-CN"/>
              </w:rPr>
            </w:pPr>
          </w:p>
        </w:tc>
      </w:tr>
      <w:tr w:rsidR="003E4C80" w:rsidRPr="003E4C80" w14:paraId="4321F736" w14:textId="77777777" w:rsidTr="000575D3">
        <w:trPr>
          <w:trHeight w:val="505"/>
          <w:jc w:val="center"/>
        </w:trPr>
        <w:tc>
          <w:tcPr>
            <w:tcW w:w="648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120FA757" w14:textId="77777777" w:rsidR="003E4C80" w:rsidRPr="003E4C80" w:rsidRDefault="003E4C80" w:rsidP="000575D3">
            <w:pPr>
              <w:rPr>
                <w:rFonts w:cstheme="minorHAnsi"/>
                <w:b/>
                <w:lang w:eastAsia="zh-CN"/>
              </w:rPr>
            </w:pPr>
            <w:r w:rsidRPr="003E4C80">
              <w:rPr>
                <w:rFonts w:cstheme="minorHAnsi"/>
                <w:b/>
                <w:lang w:eastAsia="zh-CN"/>
              </w:rPr>
              <w:t>B</w:t>
            </w:r>
            <w:r w:rsidRPr="003E4C80">
              <w:rPr>
                <w:rFonts w:cstheme="minorHAnsi"/>
                <w:b/>
                <w:lang w:eastAsia="zh-CN"/>
              </w:rPr>
              <w:tab/>
              <w:t xml:space="preserve">Experience </w:t>
            </w:r>
          </w:p>
        </w:tc>
        <w:tc>
          <w:tcPr>
            <w:tcW w:w="96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7D936FB8" w14:textId="77777777" w:rsidR="003E4C80" w:rsidRPr="003E4C80" w:rsidRDefault="003E4C80" w:rsidP="000575D3">
            <w:pPr>
              <w:keepNext/>
              <w:snapToGrid w:val="0"/>
              <w:ind w:left="-108" w:right="-108"/>
              <w:jc w:val="center"/>
              <w:rPr>
                <w:rFonts w:cstheme="minorHAnsi"/>
                <w:b/>
                <w:lang w:eastAsia="zh-CN"/>
              </w:rPr>
            </w:pPr>
            <w:r w:rsidRPr="003E4C80">
              <w:rPr>
                <w:rFonts w:cstheme="minorHAnsi"/>
                <w:b/>
                <w:lang w:eastAsia="zh-CN"/>
              </w:rPr>
              <w:t>Essential</w:t>
            </w:r>
          </w:p>
        </w:tc>
        <w:tc>
          <w:tcPr>
            <w:tcW w:w="96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C31F21D" w14:textId="77777777" w:rsidR="003E4C80" w:rsidRPr="003E4C80" w:rsidRDefault="003E4C80" w:rsidP="000575D3">
            <w:pPr>
              <w:snapToGrid w:val="0"/>
              <w:ind w:right="-108" w:hanging="108"/>
              <w:jc w:val="center"/>
              <w:rPr>
                <w:rFonts w:cstheme="minorHAnsi"/>
                <w:b/>
                <w:lang w:eastAsia="zh-CN"/>
              </w:rPr>
            </w:pPr>
            <w:r w:rsidRPr="003E4C80">
              <w:rPr>
                <w:rFonts w:cstheme="minorHAnsi"/>
                <w:b/>
                <w:lang w:eastAsia="zh-CN"/>
              </w:rPr>
              <w:t>Desirable</w:t>
            </w:r>
          </w:p>
        </w:tc>
      </w:tr>
      <w:tr w:rsidR="003E4C80" w:rsidRPr="003E4C80" w14:paraId="0CF6D20E"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5A0B2" w14:textId="77777777" w:rsidR="003E4C80" w:rsidRPr="003E4C80" w:rsidRDefault="003E4C80" w:rsidP="000575D3">
            <w:pPr>
              <w:snapToGrid w:val="0"/>
              <w:rPr>
                <w:rFonts w:cstheme="minorHAnsi"/>
                <w:lang w:eastAsia="zh-CN"/>
              </w:rPr>
            </w:pPr>
            <w:r w:rsidRPr="003E4C80">
              <w:rPr>
                <w:rFonts w:cstheme="minorHAnsi"/>
                <w:lang w:eastAsia="zh-CN"/>
              </w:rPr>
              <w:t>Experience working within a finance function</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C28A7B"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764E7" w14:textId="77777777" w:rsidR="003E4C80" w:rsidRPr="003E4C80" w:rsidRDefault="003E4C80" w:rsidP="000575D3">
            <w:pPr>
              <w:snapToGrid w:val="0"/>
              <w:jc w:val="center"/>
              <w:rPr>
                <w:rFonts w:cstheme="minorHAnsi"/>
                <w:b/>
                <w:lang w:eastAsia="zh-CN"/>
              </w:rPr>
            </w:pPr>
            <w:r w:rsidRPr="003E4C80">
              <w:rPr>
                <w:rFonts w:eastAsia="Wingdings" w:cstheme="minorHAnsi"/>
                <w:b/>
                <w:lang w:eastAsia="zh-CN"/>
              </w:rPr>
              <w:t>Y</w:t>
            </w:r>
          </w:p>
        </w:tc>
      </w:tr>
      <w:tr w:rsidR="003E4C80" w:rsidRPr="003E4C80" w14:paraId="37D540F3"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51848" w14:textId="77777777" w:rsidR="003E4C80" w:rsidRPr="003E4C80" w:rsidRDefault="003E4C80" w:rsidP="000575D3">
            <w:pPr>
              <w:snapToGrid w:val="0"/>
              <w:rPr>
                <w:rFonts w:cstheme="minorHAnsi"/>
                <w:highlight w:val="yellow"/>
                <w:lang w:eastAsia="zh-CN"/>
              </w:rPr>
            </w:pPr>
            <w:r w:rsidRPr="003E4C80">
              <w:rPr>
                <w:rFonts w:cstheme="minorHAnsi"/>
                <w:lang w:eastAsia="zh-CN"/>
              </w:rPr>
              <w:t>Experience of working in a school/educational setting in a financial management role or equivalent</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18103"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F1780" w14:textId="77777777" w:rsidR="003E4C80" w:rsidRPr="003E4C80" w:rsidRDefault="003E4C80" w:rsidP="000575D3">
            <w:pPr>
              <w:snapToGrid w:val="0"/>
              <w:jc w:val="center"/>
              <w:rPr>
                <w:rFonts w:cstheme="minorHAnsi"/>
              </w:rPr>
            </w:pPr>
            <w:r w:rsidRPr="003E4C80">
              <w:rPr>
                <w:rFonts w:eastAsia="Wingdings" w:cstheme="minorHAnsi"/>
                <w:b/>
                <w:lang w:eastAsia="zh-CN"/>
              </w:rPr>
              <w:t>Y</w:t>
            </w:r>
          </w:p>
        </w:tc>
      </w:tr>
      <w:tr w:rsidR="003E4C80" w:rsidRPr="003E4C80" w14:paraId="6C80435B"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96DA4" w14:textId="77777777" w:rsidR="003E4C80" w:rsidRPr="003E4C80" w:rsidRDefault="003E4C80" w:rsidP="000575D3">
            <w:pPr>
              <w:snapToGrid w:val="0"/>
              <w:rPr>
                <w:rFonts w:cstheme="minorHAnsi"/>
                <w:lang w:eastAsia="zh-CN"/>
              </w:rPr>
            </w:pPr>
            <w:r w:rsidRPr="003E4C80">
              <w:rPr>
                <w:rFonts w:cstheme="minorHAnsi"/>
                <w:lang w:eastAsia="zh-CN"/>
              </w:rPr>
              <w:t>Experience of working in a Multi Academy Trust financial role</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5FEB5E"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5573B" w14:textId="77777777" w:rsidR="003E4C80" w:rsidRPr="003E4C80" w:rsidRDefault="003E4C80" w:rsidP="000575D3">
            <w:pPr>
              <w:snapToGrid w:val="0"/>
              <w:jc w:val="center"/>
              <w:rPr>
                <w:rFonts w:cstheme="minorHAnsi"/>
                <w:b/>
                <w:lang w:eastAsia="zh-CN"/>
              </w:rPr>
            </w:pPr>
            <w:r w:rsidRPr="003E4C80">
              <w:rPr>
                <w:rFonts w:cstheme="minorHAnsi"/>
                <w:b/>
                <w:lang w:eastAsia="zh-CN"/>
              </w:rPr>
              <w:t>Y</w:t>
            </w:r>
          </w:p>
        </w:tc>
      </w:tr>
      <w:tr w:rsidR="003E4C80" w:rsidRPr="003E4C80" w14:paraId="69050AD3"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A4DA7F" w14:textId="77777777" w:rsidR="003E4C80" w:rsidRPr="003E4C80" w:rsidRDefault="003E4C80" w:rsidP="000575D3">
            <w:pPr>
              <w:snapToGrid w:val="0"/>
              <w:rPr>
                <w:rFonts w:cstheme="minorHAnsi"/>
                <w:lang w:eastAsia="zh-CN"/>
              </w:rPr>
            </w:pPr>
            <w:r w:rsidRPr="003E4C80">
              <w:rPr>
                <w:rFonts w:cstheme="minorHAnsi"/>
                <w:lang w:eastAsia="zh-CN"/>
              </w:rPr>
              <w:t xml:space="preserve">Experience of managing complex budgets </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5EE4EC"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100B5" w14:textId="77777777" w:rsidR="003E4C80" w:rsidRPr="003E4C80" w:rsidRDefault="003E4C80" w:rsidP="000575D3">
            <w:pPr>
              <w:snapToGrid w:val="0"/>
              <w:jc w:val="center"/>
              <w:rPr>
                <w:rFonts w:cstheme="minorHAnsi"/>
                <w:b/>
                <w:lang w:eastAsia="zh-CN"/>
              </w:rPr>
            </w:pPr>
          </w:p>
        </w:tc>
      </w:tr>
      <w:tr w:rsidR="003E4C80" w:rsidRPr="003E4C80" w14:paraId="1151C621"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7D3026" w14:textId="77777777" w:rsidR="003E4C80" w:rsidRPr="003E4C80" w:rsidRDefault="003E4C80" w:rsidP="000575D3">
            <w:pPr>
              <w:snapToGrid w:val="0"/>
              <w:rPr>
                <w:rFonts w:cstheme="minorHAnsi"/>
                <w:lang w:eastAsia="zh-CN"/>
              </w:rPr>
            </w:pPr>
            <w:r w:rsidRPr="003E4C80">
              <w:rPr>
                <w:rFonts w:cstheme="minorHAnsi"/>
                <w:lang w:eastAsia="zh-CN"/>
              </w:rPr>
              <w:t>Solid understanding of regulatory frameworks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CE012"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CEA36" w14:textId="77777777" w:rsidR="003E4C80" w:rsidRPr="003E4C80" w:rsidRDefault="003E4C80" w:rsidP="000575D3">
            <w:pPr>
              <w:snapToGrid w:val="0"/>
              <w:jc w:val="center"/>
              <w:rPr>
                <w:rFonts w:cstheme="minorHAnsi"/>
              </w:rPr>
            </w:pPr>
            <w:r w:rsidRPr="003E4C80">
              <w:rPr>
                <w:rFonts w:eastAsia="Wingdings" w:cstheme="minorHAnsi"/>
                <w:b/>
                <w:lang w:eastAsia="zh-CN"/>
              </w:rPr>
              <w:t>Y</w:t>
            </w:r>
          </w:p>
        </w:tc>
      </w:tr>
      <w:tr w:rsidR="003E4C80" w:rsidRPr="003E4C80" w14:paraId="343329FA"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2A8F6C" w14:textId="77777777" w:rsidR="003E4C80" w:rsidRPr="003E4C80" w:rsidRDefault="003E4C80" w:rsidP="000575D3">
            <w:pPr>
              <w:snapToGrid w:val="0"/>
              <w:rPr>
                <w:rFonts w:cstheme="minorHAnsi"/>
                <w:lang w:eastAsia="zh-CN"/>
              </w:rPr>
            </w:pPr>
            <w:r w:rsidRPr="003E4C80">
              <w:rPr>
                <w:rFonts w:cstheme="minorHAnsi"/>
                <w:lang w:eastAsia="zh-CN"/>
              </w:rPr>
              <w:t>Experience of producing and presenting complex reports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CCD4E3"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FDA37" w14:textId="77777777" w:rsidR="003E4C80" w:rsidRPr="003E4C80" w:rsidRDefault="003E4C80" w:rsidP="000575D3">
            <w:pPr>
              <w:snapToGrid w:val="0"/>
              <w:jc w:val="center"/>
              <w:rPr>
                <w:rFonts w:cstheme="minorHAnsi"/>
                <w:b/>
                <w:lang w:eastAsia="zh-CN"/>
              </w:rPr>
            </w:pPr>
          </w:p>
        </w:tc>
      </w:tr>
    </w:tbl>
    <w:p w14:paraId="29DE25ED" w14:textId="77777777" w:rsidR="003E4C80" w:rsidRPr="003E4C80" w:rsidRDefault="003E4C80" w:rsidP="003E4C80">
      <w:pPr>
        <w:rPr>
          <w:rFonts w:cstheme="minorHAnsi"/>
        </w:rPr>
      </w:pPr>
    </w:p>
    <w:tbl>
      <w:tblPr>
        <w:tblW w:w="8400" w:type="dxa"/>
        <w:jc w:val="center"/>
        <w:tblLayout w:type="fixed"/>
        <w:tblCellMar>
          <w:left w:w="10" w:type="dxa"/>
          <w:right w:w="10" w:type="dxa"/>
        </w:tblCellMar>
        <w:tblLook w:val="0000" w:firstRow="0" w:lastRow="0" w:firstColumn="0" w:lastColumn="0" w:noHBand="0" w:noVBand="0"/>
      </w:tblPr>
      <w:tblGrid>
        <w:gridCol w:w="6480"/>
        <w:gridCol w:w="960"/>
        <w:gridCol w:w="960"/>
      </w:tblGrid>
      <w:tr w:rsidR="003E4C80" w:rsidRPr="003E4C80" w14:paraId="4D76DC1C"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233E9687" w14:textId="77777777" w:rsidR="003E4C80" w:rsidRPr="003E4C80" w:rsidRDefault="003E4C80" w:rsidP="000575D3">
            <w:pPr>
              <w:rPr>
                <w:rFonts w:cstheme="minorHAnsi"/>
                <w:b/>
                <w:lang w:eastAsia="zh-CN"/>
              </w:rPr>
            </w:pPr>
            <w:r w:rsidRPr="003E4C80">
              <w:rPr>
                <w:rFonts w:cstheme="minorHAnsi"/>
                <w:b/>
                <w:lang w:eastAsia="zh-CN"/>
              </w:rPr>
              <w:t>C</w:t>
            </w:r>
            <w:r w:rsidRPr="003E4C80">
              <w:rPr>
                <w:rFonts w:cstheme="minorHAnsi"/>
                <w:b/>
                <w:lang w:eastAsia="zh-CN"/>
              </w:rPr>
              <w:tab/>
              <w:t>Professional Knowledge and Skills</w:t>
            </w:r>
          </w:p>
        </w:tc>
        <w:tc>
          <w:tcPr>
            <w:tcW w:w="96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33218552" w14:textId="77777777" w:rsidR="003E4C80" w:rsidRPr="003E4C80" w:rsidRDefault="003E4C80" w:rsidP="000575D3">
            <w:pPr>
              <w:keepNext/>
              <w:snapToGrid w:val="0"/>
              <w:ind w:left="-108" w:right="-108"/>
              <w:jc w:val="center"/>
              <w:rPr>
                <w:rFonts w:cstheme="minorHAnsi"/>
                <w:b/>
                <w:lang w:eastAsia="zh-CN"/>
              </w:rPr>
            </w:pPr>
            <w:r w:rsidRPr="003E4C80">
              <w:rPr>
                <w:rFonts w:cstheme="minorHAnsi"/>
                <w:b/>
                <w:lang w:eastAsia="zh-CN"/>
              </w:rPr>
              <w:t>Essential</w:t>
            </w:r>
          </w:p>
        </w:tc>
        <w:tc>
          <w:tcPr>
            <w:tcW w:w="96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804712F" w14:textId="77777777" w:rsidR="003E4C80" w:rsidRPr="003E4C80" w:rsidRDefault="003E4C80" w:rsidP="000575D3">
            <w:pPr>
              <w:snapToGrid w:val="0"/>
              <w:ind w:right="-108" w:hanging="108"/>
              <w:jc w:val="center"/>
              <w:rPr>
                <w:rFonts w:cstheme="minorHAnsi"/>
                <w:b/>
                <w:lang w:eastAsia="zh-CN"/>
              </w:rPr>
            </w:pPr>
            <w:r w:rsidRPr="003E4C80">
              <w:rPr>
                <w:rFonts w:cstheme="minorHAnsi"/>
                <w:b/>
                <w:lang w:eastAsia="zh-CN"/>
              </w:rPr>
              <w:t>Desirable</w:t>
            </w:r>
          </w:p>
        </w:tc>
      </w:tr>
      <w:tr w:rsidR="003E4C80" w:rsidRPr="003E4C80" w14:paraId="5330245C"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E6F550" w14:textId="77777777" w:rsidR="003E4C80" w:rsidRPr="003E4C80" w:rsidRDefault="003E4C80" w:rsidP="000575D3">
            <w:pPr>
              <w:rPr>
                <w:rFonts w:cstheme="minorHAnsi"/>
                <w:lang w:eastAsia="zh-CN"/>
              </w:rPr>
            </w:pPr>
            <w:r w:rsidRPr="003E4C80">
              <w:rPr>
                <w:rFonts w:cstheme="minorHAnsi"/>
                <w:lang w:eastAsia="zh-CN"/>
              </w:rPr>
              <w:t xml:space="preserve">Evidence of continuing professional development </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DE16B" w14:textId="77777777" w:rsidR="003E4C80" w:rsidRPr="003E4C80" w:rsidRDefault="003E4C80" w:rsidP="000575D3">
            <w:pPr>
              <w:snapToGrid w:val="0"/>
              <w:jc w:val="center"/>
              <w:rPr>
                <w:rFonts w:cstheme="minorHAnsi"/>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D9A2A" w14:textId="77777777" w:rsidR="003E4C80" w:rsidRPr="003E4C80" w:rsidRDefault="003E4C80" w:rsidP="000575D3">
            <w:pPr>
              <w:snapToGrid w:val="0"/>
              <w:jc w:val="center"/>
              <w:rPr>
                <w:rFonts w:eastAsia="Wingdings" w:cstheme="minorHAnsi"/>
                <w:b/>
                <w:lang w:eastAsia="zh-CN"/>
              </w:rPr>
            </w:pPr>
          </w:p>
        </w:tc>
      </w:tr>
      <w:tr w:rsidR="003E4C80" w:rsidRPr="003E4C80" w14:paraId="40BCE129"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EFB4DC" w14:textId="77777777" w:rsidR="003E4C80" w:rsidRPr="003E4C80" w:rsidRDefault="003E4C80" w:rsidP="000575D3">
            <w:pPr>
              <w:rPr>
                <w:rFonts w:cstheme="minorHAnsi"/>
                <w:lang w:eastAsia="zh-CN"/>
              </w:rPr>
            </w:pPr>
            <w:r w:rsidRPr="003E4C80">
              <w:rPr>
                <w:rFonts w:cstheme="minorHAnsi"/>
                <w:lang w:eastAsia="zh-CN"/>
              </w:rPr>
              <w:t>Evidence of providing training and development opportunities to other staff</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FA5B27"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AB22"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r>
      <w:tr w:rsidR="003E4C80" w:rsidRPr="003E4C80" w14:paraId="4A7ECB2D"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16C95F" w14:textId="2CF08766" w:rsidR="003E4C80" w:rsidRPr="003E4C80" w:rsidRDefault="003E4C80" w:rsidP="000575D3">
            <w:pPr>
              <w:rPr>
                <w:rFonts w:cstheme="minorHAnsi"/>
                <w:lang w:eastAsia="zh-CN"/>
              </w:rPr>
            </w:pPr>
            <w:r w:rsidRPr="003E4C80">
              <w:rPr>
                <w:rFonts w:cstheme="minorHAnsi"/>
                <w:lang w:eastAsia="zh-CN"/>
              </w:rPr>
              <w:t>Ability to manage a varied and complex workload as well as delivering to timescale</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38156E"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B0796" w14:textId="77777777" w:rsidR="003E4C80" w:rsidRPr="003E4C80" w:rsidRDefault="003E4C80" w:rsidP="000575D3">
            <w:pPr>
              <w:snapToGrid w:val="0"/>
              <w:jc w:val="center"/>
              <w:rPr>
                <w:rFonts w:eastAsia="Wingdings" w:cstheme="minorHAnsi"/>
                <w:b/>
                <w:lang w:eastAsia="zh-CN"/>
              </w:rPr>
            </w:pPr>
          </w:p>
        </w:tc>
      </w:tr>
      <w:tr w:rsidR="003E4C80" w:rsidRPr="003E4C80" w14:paraId="13E187D6"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455456" w14:textId="77777777" w:rsidR="003E4C80" w:rsidRPr="003E4C80" w:rsidRDefault="003E4C80" w:rsidP="000575D3">
            <w:pPr>
              <w:rPr>
                <w:rFonts w:cstheme="minorHAnsi"/>
                <w:lang w:eastAsia="zh-CN"/>
              </w:rPr>
            </w:pPr>
            <w:r w:rsidRPr="003E4C80">
              <w:rPr>
                <w:rFonts w:cstheme="minorHAnsi"/>
                <w:lang w:eastAsia="zh-CN"/>
              </w:rPr>
              <w:lastRenderedPageBreak/>
              <w:t>Ability to produce complex financial information in a logical, user-friendly way</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C16306"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0B9B8" w14:textId="77777777" w:rsidR="003E4C80" w:rsidRPr="003E4C80" w:rsidRDefault="003E4C80" w:rsidP="000575D3">
            <w:pPr>
              <w:snapToGrid w:val="0"/>
              <w:jc w:val="center"/>
              <w:rPr>
                <w:rFonts w:eastAsia="Wingdings" w:cstheme="minorHAnsi"/>
                <w:b/>
                <w:lang w:eastAsia="zh-CN"/>
              </w:rPr>
            </w:pPr>
          </w:p>
        </w:tc>
      </w:tr>
      <w:tr w:rsidR="003E4C80" w:rsidRPr="003E4C80" w14:paraId="496B87B2"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24D4DD" w14:textId="77777777" w:rsidR="003E4C80" w:rsidRPr="003E4C80" w:rsidRDefault="003E4C80" w:rsidP="000575D3">
            <w:pPr>
              <w:rPr>
                <w:rFonts w:cstheme="minorHAnsi"/>
                <w:lang w:eastAsia="zh-CN"/>
              </w:rPr>
            </w:pPr>
            <w:r w:rsidRPr="003E4C80">
              <w:rPr>
                <w:rFonts w:cstheme="minorHAnsi"/>
                <w:lang w:eastAsia="zh-CN"/>
              </w:rPr>
              <w:t>Strong ICT skills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07097F"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4422E" w14:textId="77777777" w:rsidR="003E4C80" w:rsidRPr="003E4C80" w:rsidRDefault="003E4C80" w:rsidP="000575D3">
            <w:pPr>
              <w:snapToGrid w:val="0"/>
              <w:jc w:val="center"/>
              <w:rPr>
                <w:rFonts w:eastAsia="Wingdings" w:cstheme="minorHAnsi"/>
                <w:b/>
                <w:lang w:eastAsia="zh-CN"/>
              </w:rPr>
            </w:pPr>
          </w:p>
        </w:tc>
      </w:tr>
      <w:tr w:rsidR="003E4C80" w:rsidRPr="003E4C80" w14:paraId="1702303B"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419F37" w14:textId="77777777" w:rsidR="003E4C80" w:rsidRPr="003E4C80" w:rsidRDefault="003E4C80" w:rsidP="000575D3">
            <w:pPr>
              <w:rPr>
                <w:rFonts w:cstheme="minorHAnsi"/>
                <w:lang w:eastAsia="zh-CN"/>
              </w:rPr>
            </w:pPr>
            <w:r w:rsidRPr="003E4C80">
              <w:rPr>
                <w:rFonts w:cstheme="minorHAnsi"/>
                <w:lang w:eastAsia="zh-CN"/>
              </w:rPr>
              <w:t>Excellent verbal and written communication skills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85DBDF"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0BA27" w14:textId="77777777" w:rsidR="003E4C80" w:rsidRPr="003E4C80" w:rsidRDefault="003E4C80" w:rsidP="000575D3">
            <w:pPr>
              <w:snapToGrid w:val="0"/>
              <w:jc w:val="center"/>
              <w:rPr>
                <w:rFonts w:eastAsia="Wingdings" w:cstheme="minorHAnsi"/>
                <w:b/>
                <w:lang w:eastAsia="zh-CN"/>
              </w:rPr>
            </w:pPr>
          </w:p>
        </w:tc>
      </w:tr>
      <w:tr w:rsidR="003E4C80" w:rsidRPr="003E4C80" w14:paraId="2DEC88EB"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0F48A" w14:textId="77777777" w:rsidR="003E4C80" w:rsidRPr="003E4C80" w:rsidRDefault="003E4C80" w:rsidP="000575D3">
            <w:pPr>
              <w:rPr>
                <w:rFonts w:cstheme="minorHAnsi"/>
                <w:lang w:eastAsia="zh-CN"/>
              </w:rPr>
            </w:pPr>
            <w:r w:rsidRPr="003E4C80">
              <w:rPr>
                <w:rFonts w:cstheme="minorHAnsi"/>
                <w:lang w:eastAsia="zh-CN"/>
              </w:rPr>
              <w:t>Excellent planning and organisation skills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23950"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6A1C" w14:textId="77777777" w:rsidR="003E4C80" w:rsidRPr="003E4C80" w:rsidRDefault="003E4C80" w:rsidP="000575D3">
            <w:pPr>
              <w:snapToGrid w:val="0"/>
              <w:jc w:val="center"/>
              <w:rPr>
                <w:rFonts w:eastAsia="Wingdings" w:cstheme="minorHAnsi"/>
                <w:b/>
                <w:lang w:eastAsia="zh-CN"/>
              </w:rPr>
            </w:pPr>
          </w:p>
        </w:tc>
      </w:tr>
      <w:tr w:rsidR="003E4C80" w:rsidRPr="003E4C80" w14:paraId="12BE3F0F"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4D638E" w14:textId="77777777" w:rsidR="003E4C80" w:rsidRPr="003E4C80" w:rsidRDefault="003E4C80" w:rsidP="000575D3">
            <w:pPr>
              <w:rPr>
                <w:rFonts w:cstheme="minorHAnsi"/>
                <w:lang w:eastAsia="zh-CN"/>
              </w:rPr>
            </w:pPr>
            <w:r w:rsidRPr="003E4C80">
              <w:rPr>
                <w:rFonts w:cstheme="minorHAnsi"/>
                <w:lang w:eastAsia="zh-CN"/>
              </w:rPr>
              <w:t>Understanding of the funding and financial management arrangements and reporting requirements for academies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F123AA"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BDF"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r>
      <w:tr w:rsidR="003E4C80" w:rsidRPr="003E4C80" w14:paraId="2B00920F" w14:textId="77777777" w:rsidTr="000575D3">
        <w:trPr>
          <w:trHeight w:val="506"/>
          <w:jc w:val="center"/>
        </w:trPr>
        <w:tc>
          <w:tcPr>
            <w:tcW w:w="6480" w:type="dxa"/>
            <w:tcBorders>
              <w:top w:val="single" w:sz="4" w:space="0" w:color="000000"/>
            </w:tcBorders>
            <w:shd w:val="clear" w:color="auto" w:fill="auto"/>
            <w:tcMar>
              <w:top w:w="0" w:type="dxa"/>
              <w:left w:w="108" w:type="dxa"/>
              <w:bottom w:w="0" w:type="dxa"/>
              <w:right w:w="108" w:type="dxa"/>
            </w:tcMar>
            <w:vAlign w:val="center"/>
          </w:tcPr>
          <w:p w14:paraId="2785DC25" w14:textId="77777777" w:rsidR="003E4C80" w:rsidRPr="003E4C80" w:rsidRDefault="003E4C80" w:rsidP="000575D3">
            <w:pPr>
              <w:snapToGrid w:val="0"/>
              <w:rPr>
                <w:rFonts w:cstheme="minorHAnsi"/>
                <w:lang w:eastAsia="zh-CN"/>
              </w:rPr>
            </w:pPr>
          </w:p>
        </w:tc>
        <w:tc>
          <w:tcPr>
            <w:tcW w:w="960" w:type="dxa"/>
            <w:tcBorders>
              <w:top w:val="single" w:sz="4" w:space="0" w:color="000000"/>
            </w:tcBorders>
            <w:shd w:val="clear" w:color="auto" w:fill="auto"/>
            <w:tcMar>
              <w:top w:w="0" w:type="dxa"/>
              <w:left w:w="108" w:type="dxa"/>
              <w:bottom w:w="0" w:type="dxa"/>
              <w:right w:w="108" w:type="dxa"/>
            </w:tcMar>
            <w:vAlign w:val="center"/>
          </w:tcPr>
          <w:p w14:paraId="555B4C09" w14:textId="77777777" w:rsidR="003E4C80" w:rsidRPr="003E4C80" w:rsidRDefault="003E4C80" w:rsidP="000575D3">
            <w:pPr>
              <w:snapToGrid w:val="0"/>
              <w:jc w:val="center"/>
              <w:rPr>
                <w:rFonts w:eastAsia="Wingdings" w:cstheme="minorHAnsi"/>
                <w:b/>
                <w:lang w:eastAsia="zh-CN"/>
              </w:rPr>
            </w:pPr>
          </w:p>
        </w:tc>
        <w:tc>
          <w:tcPr>
            <w:tcW w:w="960" w:type="dxa"/>
            <w:tcBorders>
              <w:top w:val="single" w:sz="4" w:space="0" w:color="000000"/>
              <w:right w:val="single" w:sz="4" w:space="0" w:color="FFFFFF"/>
            </w:tcBorders>
            <w:shd w:val="clear" w:color="auto" w:fill="auto"/>
            <w:tcMar>
              <w:top w:w="0" w:type="dxa"/>
              <w:left w:w="108" w:type="dxa"/>
              <w:bottom w:w="0" w:type="dxa"/>
              <w:right w:w="108" w:type="dxa"/>
            </w:tcMar>
            <w:vAlign w:val="center"/>
          </w:tcPr>
          <w:p w14:paraId="2A80D1E2" w14:textId="77777777" w:rsidR="003E4C80" w:rsidRPr="003E4C80" w:rsidRDefault="003E4C80" w:rsidP="000575D3">
            <w:pPr>
              <w:snapToGrid w:val="0"/>
              <w:jc w:val="center"/>
              <w:rPr>
                <w:rFonts w:eastAsia="Wingdings" w:cstheme="minorHAnsi"/>
                <w:b/>
                <w:lang w:eastAsia="zh-CN"/>
              </w:rPr>
            </w:pPr>
          </w:p>
        </w:tc>
      </w:tr>
      <w:tr w:rsidR="003E4C80" w:rsidRPr="003E4C80" w14:paraId="2683ED77"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4FF023D0" w14:textId="77777777" w:rsidR="003E4C80" w:rsidRPr="003E4C80" w:rsidRDefault="003E4C80" w:rsidP="000575D3">
            <w:pPr>
              <w:snapToGrid w:val="0"/>
              <w:rPr>
                <w:rFonts w:cstheme="minorHAnsi"/>
                <w:b/>
                <w:lang w:eastAsia="zh-CN"/>
              </w:rPr>
            </w:pPr>
            <w:r w:rsidRPr="003E4C80">
              <w:rPr>
                <w:rFonts w:cstheme="minorHAnsi"/>
                <w:b/>
                <w:lang w:eastAsia="zh-CN"/>
              </w:rPr>
              <w:t>D        Personal Attributes</w:t>
            </w:r>
          </w:p>
        </w:tc>
        <w:tc>
          <w:tcPr>
            <w:tcW w:w="96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4A9ABEA6" w14:textId="77777777" w:rsidR="003E4C80" w:rsidRPr="003E4C80" w:rsidRDefault="003E4C80" w:rsidP="000575D3">
            <w:pPr>
              <w:keepNext/>
              <w:snapToGrid w:val="0"/>
              <w:ind w:left="-108" w:right="-108"/>
              <w:jc w:val="center"/>
              <w:rPr>
                <w:rFonts w:cstheme="minorHAnsi"/>
              </w:rPr>
            </w:pPr>
            <w:r w:rsidRPr="003E4C80">
              <w:rPr>
                <w:rFonts w:cstheme="minorHAnsi"/>
                <w:b/>
                <w:lang w:eastAsia="zh-CN"/>
              </w:rPr>
              <w:t>Essential</w:t>
            </w:r>
          </w:p>
        </w:tc>
        <w:tc>
          <w:tcPr>
            <w:tcW w:w="96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D90C936" w14:textId="77777777" w:rsidR="003E4C80" w:rsidRPr="003E4C80" w:rsidRDefault="003E4C80" w:rsidP="000575D3">
            <w:pPr>
              <w:keepNext/>
              <w:snapToGrid w:val="0"/>
              <w:ind w:left="-108" w:right="-108"/>
              <w:jc w:val="center"/>
              <w:rPr>
                <w:rFonts w:cstheme="minorHAnsi"/>
              </w:rPr>
            </w:pPr>
            <w:r w:rsidRPr="003E4C80">
              <w:rPr>
                <w:rFonts w:cstheme="minorHAnsi"/>
                <w:b/>
                <w:lang w:eastAsia="zh-CN"/>
              </w:rPr>
              <w:t>Desirable</w:t>
            </w:r>
          </w:p>
        </w:tc>
      </w:tr>
      <w:tr w:rsidR="003E4C80" w:rsidRPr="003E4C80" w14:paraId="0FF4A2F1"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39C7B2" w14:textId="77777777" w:rsidR="003E4C80" w:rsidRPr="003E4C80" w:rsidRDefault="003E4C80" w:rsidP="000575D3">
            <w:pPr>
              <w:snapToGrid w:val="0"/>
              <w:rPr>
                <w:rFonts w:cstheme="minorHAnsi"/>
                <w:lang w:eastAsia="zh-CN"/>
              </w:rPr>
            </w:pPr>
            <w:r w:rsidRPr="003E4C80">
              <w:rPr>
                <w:rFonts w:cstheme="minorHAnsi"/>
                <w:lang w:eastAsia="zh-CN"/>
              </w:rPr>
              <w:t>Willingness to support Catholic life in schools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AECCDB"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B8E" w14:textId="77777777" w:rsidR="003E4C80" w:rsidRPr="003E4C80" w:rsidRDefault="003E4C80" w:rsidP="000575D3">
            <w:pPr>
              <w:snapToGrid w:val="0"/>
              <w:jc w:val="center"/>
              <w:rPr>
                <w:rFonts w:cstheme="minorHAnsi"/>
                <w:b/>
                <w:lang w:eastAsia="zh-CN"/>
              </w:rPr>
            </w:pPr>
          </w:p>
        </w:tc>
      </w:tr>
      <w:tr w:rsidR="003E4C80" w:rsidRPr="003E4C80" w14:paraId="6D1CC444"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1BAE8D" w14:textId="77777777" w:rsidR="003E4C80" w:rsidRPr="003E4C80" w:rsidRDefault="003E4C80" w:rsidP="000575D3">
            <w:pPr>
              <w:snapToGrid w:val="0"/>
              <w:rPr>
                <w:rFonts w:cstheme="minorHAnsi"/>
                <w:lang w:eastAsia="zh-CN"/>
              </w:rPr>
            </w:pPr>
            <w:r w:rsidRPr="003E4C80">
              <w:rPr>
                <w:rFonts w:cstheme="minorHAnsi"/>
                <w:lang w:eastAsia="zh-CN"/>
              </w:rPr>
              <w:t xml:space="preserve">Retain the highest levels of confidentiality </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041723"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8713C" w14:textId="77777777" w:rsidR="003E4C80" w:rsidRPr="003E4C80" w:rsidRDefault="003E4C80" w:rsidP="000575D3">
            <w:pPr>
              <w:snapToGrid w:val="0"/>
              <w:jc w:val="center"/>
              <w:rPr>
                <w:rFonts w:cstheme="minorHAnsi"/>
                <w:b/>
                <w:lang w:eastAsia="zh-CN"/>
              </w:rPr>
            </w:pPr>
          </w:p>
        </w:tc>
      </w:tr>
      <w:tr w:rsidR="003E4C80" w:rsidRPr="003E4C80" w14:paraId="2FE9F126"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A24AC2" w14:textId="77777777" w:rsidR="003E4C80" w:rsidRPr="003E4C80" w:rsidRDefault="003E4C80" w:rsidP="000575D3">
            <w:pPr>
              <w:snapToGrid w:val="0"/>
              <w:rPr>
                <w:rFonts w:cstheme="minorHAnsi"/>
                <w:lang w:eastAsia="zh-CN"/>
              </w:rPr>
            </w:pPr>
            <w:r w:rsidRPr="003E4C80">
              <w:rPr>
                <w:rFonts w:cstheme="minorHAnsi"/>
                <w:lang w:eastAsia="zh-CN"/>
              </w:rPr>
              <w:t>Emotional resilience</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1AB73E"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472EF" w14:textId="77777777" w:rsidR="003E4C80" w:rsidRPr="003E4C80" w:rsidRDefault="003E4C80" w:rsidP="000575D3">
            <w:pPr>
              <w:snapToGrid w:val="0"/>
              <w:jc w:val="center"/>
              <w:rPr>
                <w:rFonts w:cstheme="minorHAnsi"/>
                <w:b/>
                <w:lang w:eastAsia="zh-CN"/>
              </w:rPr>
            </w:pPr>
          </w:p>
        </w:tc>
      </w:tr>
      <w:tr w:rsidR="003E4C80" w:rsidRPr="003E4C80" w14:paraId="0130CE96"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D50CBB" w14:textId="77777777" w:rsidR="003E4C80" w:rsidRPr="003E4C80" w:rsidRDefault="003E4C80" w:rsidP="000575D3">
            <w:pPr>
              <w:snapToGrid w:val="0"/>
              <w:rPr>
                <w:rFonts w:cstheme="minorHAnsi"/>
                <w:lang w:eastAsia="zh-CN"/>
              </w:rPr>
            </w:pPr>
            <w:r w:rsidRPr="003E4C80">
              <w:rPr>
                <w:rFonts w:cstheme="minorHAnsi"/>
                <w:lang w:eastAsia="zh-CN"/>
              </w:rPr>
              <w:t>The ability to self-evaluate and reflect</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56382D"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5F2D0" w14:textId="77777777" w:rsidR="003E4C80" w:rsidRPr="003E4C80" w:rsidRDefault="003E4C80" w:rsidP="000575D3">
            <w:pPr>
              <w:snapToGrid w:val="0"/>
              <w:jc w:val="center"/>
              <w:rPr>
                <w:rFonts w:cstheme="minorHAnsi"/>
                <w:b/>
                <w:lang w:eastAsia="zh-CN"/>
              </w:rPr>
            </w:pPr>
          </w:p>
        </w:tc>
      </w:tr>
      <w:tr w:rsidR="003E4C80" w:rsidRPr="003E4C80" w14:paraId="3C818362"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20CBC" w14:textId="77777777" w:rsidR="003E4C80" w:rsidRPr="003E4C80" w:rsidRDefault="003E4C80" w:rsidP="000575D3">
            <w:pPr>
              <w:rPr>
                <w:rFonts w:cstheme="minorHAnsi"/>
                <w:lang w:eastAsia="zh-CN"/>
              </w:rPr>
            </w:pPr>
            <w:r w:rsidRPr="003E4C80">
              <w:rPr>
                <w:rFonts w:cstheme="minorHAnsi"/>
                <w:lang w:eastAsia="zh-CN"/>
              </w:rPr>
              <w:t>Attention to detail</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5F63A2" w14:textId="77777777" w:rsidR="003E4C80" w:rsidRPr="003E4C80" w:rsidRDefault="003E4C80" w:rsidP="000575D3">
            <w:pPr>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3344" w14:textId="77777777" w:rsidR="003E4C80" w:rsidRPr="003E4C80" w:rsidRDefault="003E4C80" w:rsidP="000575D3">
            <w:pPr>
              <w:snapToGrid w:val="0"/>
              <w:jc w:val="center"/>
              <w:rPr>
                <w:rFonts w:cstheme="minorHAnsi"/>
                <w:b/>
                <w:lang w:eastAsia="zh-CN"/>
              </w:rPr>
            </w:pPr>
          </w:p>
        </w:tc>
      </w:tr>
      <w:tr w:rsidR="003E4C80" w:rsidRPr="003E4C80" w14:paraId="41CC0D70" w14:textId="77777777" w:rsidTr="000575D3">
        <w:trPr>
          <w:trHeight w:val="530"/>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9A0B9C" w14:textId="77777777" w:rsidR="003E4C80" w:rsidRPr="003E4C80" w:rsidRDefault="003E4C80" w:rsidP="000575D3">
            <w:pPr>
              <w:rPr>
                <w:rFonts w:cstheme="minorHAnsi"/>
                <w:lang w:eastAsia="zh-CN"/>
              </w:rPr>
            </w:pPr>
            <w:r w:rsidRPr="003E4C80">
              <w:rPr>
                <w:rFonts w:cstheme="minorHAnsi"/>
                <w:lang w:eastAsia="zh-CN"/>
              </w:rPr>
              <w:t>Excellent numerical skills</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BC44AC" w14:textId="77777777" w:rsidR="003E4C80" w:rsidRPr="003E4C80" w:rsidRDefault="003E4C80" w:rsidP="000575D3">
            <w:pPr>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374FE" w14:textId="77777777" w:rsidR="003E4C80" w:rsidRPr="003E4C80" w:rsidRDefault="003E4C80" w:rsidP="000575D3">
            <w:pPr>
              <w:snapToGrid w:val="0"/>
              <w:jc w:val="center"/>
              <w:rPr>
                <w:rFonts w:cstheme="minorHAnsi"/>
                <w:b/>
                <w:lang w:eastAsia="zh-CN"/>
              </w:rPr>
            </w:pPr>
          </w:p>
        </w:tc>
      </w:tr>
      <w:tr w:rsidR="003E4C80" w:rsidRPr="003E4C80" w14:paraId="4011ED0E"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2C615F" w14:textId="77777777" w:rsidR="003E4C80" w:rsidRPr="003E4C80" w:rsidRDefault="003E4C80" w:rsidP="000575D3">
            <w:pPr>
              <w:rPr>
                <w:rFonts w:cstheme="minorHAnsi"/>
                <w:lang w:eastAsia="zh-CN"/>
              </w:rPr>
            </w:pPr>
            <w:r w:rsidRPr="003E4C80">
              <w:rPr>
                <w:rFonts w:cstheme="minorHAnsi"/>
                <w:lang w:eastAsia="zh-CN"/>
              </w:rPr>
              <w:t>Integrity and commitment to good governance</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A051A0" w14:textId="77777777" w:rsidR="003E4C80" w:rsidRPr="003E4C80" w:rsidRDefault="003E4C80" w:rsidP="000575D3">
            <w:pPr>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5857" w14:textId="77777777" w:rsidR="003E4C80" w:rsidRPr="003E4C80" w:rsidRDefault="003E4C80" w:rsidP="000575D3">
            <w:pPr>
              <w:snapToGrid w:val="0"/>
              <w:jc w:val="center"/>
              <w:rPr>
                <w:rFonts w:cstheme="minorHAnsi"/>
                <w:b/>
                <w:lang w:eastAsia="zh-CN"/>
              </w:rPr>
            </w:pPr>
          </w:p>
        </w:tc>
      </w:tr>
      <w:tr w:rsidR="003E4C80" w:rsidRPr="003E4C80" w14:paraId="0B19087D"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BFF7B3" w14:textId="77777777" w:rsidR="003E4C80" w:rsidRPr="003E4C80" w:rsidRDefault="003E4C80" w:rsidP="000575D3">
            <w:pPr>
              <w:rPr>
                <w:rFonts w:cstheme="minorHAnsi"/>
                <w:lang w:eastAsia="zh-CN"/>
              </w:rPr>
            </w:pPr>
            <w:r w:rsidRPr="003E4C80">
              <w:rPr>
                <w:rFonts w:cstheme="minorHAnsi"/>
                <w:lang w:eastAsia="zh-CN"/>
              </w:rPr>
              <w:t>Ability to be respectful and promote equality of opportunity and diversity</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8E37B1" w14:textId="77777777" w:rsidR="003E4C80" w:rsidRPr="003E4C80" w:rsidRDefault="003E4C80" w:rsidP="000575D3">
            <w:pPr>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B347A" w14:textId="77777777" w:rsidR="003E4C80" w:rsidRPr="003E4C80" w:rsidRDefault="003E4C80" w:rsidP="000575D3">
            <w:pPr>
              <w:snapToGrid w:val="0"/>
              <w:jc w:val="center"/>
              <w:rPr>
                <w:rFonts w:cstheme="minorHAnsi"/>
                <w:b/>
                <w:lang w:eastAsia="zh-CN"/>
              </w:rPr>
            </w:pPr>
          </w:p>
        </w:tc>
      </w:tr>
      <w:tr w:rsidR="003E4C80" w:rsidRPr="003E4C80" w14:paraId="38F2D8A2" w14:textId="77777777" w:rsidTr="000575D3">
        <w:trPr>
          <w:trHeight w:val="506"/>
          <w:jc w:val="center"/>
        </w:trPr>
        <w:tc>
          <w:tcPr>
            <w:tcW w:w="64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A674C05" w14:textId="77777777" w:rsidR="003E4C80" w:rsidRPr="003E4C80" w:rsidRDefault="003E4C80" w:rsidP="000575D3">
            <w:pPr>
              <w:rPr>
                <w:rFonts w:cstheme="minorHAnsi"/>
                <w:lang w:eastAsia="zh-CN"/>
              </w:rPr>
            </w:pPr>
          </w:p>
        </w:tc>
        <w:tc>
          <w:tcPr>
            <w:tcW w:w="96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7DC46E4" w14:textId="77777777" w:rsidR="003E4C80" w:rsidRPr="003E4C80" w:rsidRDefault="003E4C80" w:rsidP="000575D3">
            <w:pPr>
              <w:jc w:val="center"/>
              <w:rPr>
                <w:rFonts w:eastAsia="Wingdings" w:cstheme="minorHAnsi"/>
                <w:b/>
                <w:lang w:eastAsia="zh-CN"/>
              </w:rPr>
            </w:pPr>
          </w:p>
        </w:tc>
        <w:tc>
          <w:tcPr>
            <w:tcW w:w="960" w:type="dxa"/>
            <w:tcBorders>
              <w:top w:val="single" w:sz="4" w:space="0" w:color="000000"/>
              <w:bottom w:val="single" w:sz="4" w:space="0" w:color="000000"/>
              <w:right w:val="single" w:sz="4" w:space="0" w:color="FFFFFF"/>
            </w:tcBorders>
            <w:shd w:val="clear" w:color="auto" w:fill="auto"/>
            <w:tcMar>
              <w:top w:w="0" w:type="dxa"/>
              <w:left w:w="108" w:type="dxa"/>
              <w:bottom w:w="0" w:type="dxa"/>
              <w:right w:w="108" w:type="dxa"/>
            </w:tcMar>
            <w:vAlign w:val="center"/>
          </w:tcPr>
          <w:p w14:paraId="689861F5" w14:textId="77777777" w:rsidR="003E4C80" w:rsidRPr="003E4C80" w:rsidRDefault="003E4C80" w:rsidP="000575D3">
            <w:pPr>
              <w:snapToGrid w:val="0"/>
              <w:jc w:val="center"/>
              <w:rPr>
                <w:rFonts w:cstheme="minorHAnsi"/>
                <w:b/>
                <w:lang w:eastAsia="zh-CN"/>
              </w:rPr>
            </w:pPr>
          </w:p>
        </w:tc>
      </w:tr>
      <w:tr w:rsidR="003E4C80" w:rsidRPr="003E4C80" w14:paraId="70D9692D"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576D9684" w14:textId="77777777" w:rsidR="003E4C80" w:rsidRPr="003E4C80" w:rsidRDefault="003E4C80" w:rsidP="000575D3">
            <w:pPr>
              <w:rPr>
                <w:rFonts w:cstheme="minorHAnsi"/>
                <w:b/>
                <w:lang w:eastAsia="zh-CN"/>
              </w:rPr>
            </w:pPr>
            <w:r w:rsidRPr="003E4C80">
              <w:rPr>
                <w:rFonts w:cstheme="minorHAnsi"/>
                <w:b/>
                <w:lang w:eastAsia="zh-CN"/>
              </w:rPr>
              <w:t>E        Safeguarding</w:t>
            </w:r>
          </w:p>
        </w:tc>
        <w:tc>
          <w:tcPr>
            <w:tcW w:w="960" w:type="dxa"/>
            <w:tcBorders>
              <w:top w:val="single" w:sz="4" w:space="0" w:color="000000"/>
              <w:left w:val="single" w:sz="4" w:space="0" w:color="000000"/>
              <w:bottom w:val="single" w:sz="4" w:space="0" w:color="000000"/>
            </w:tcBorders>
            <w:shd w:val="clear" w:color="auto" w:fill="EDEDED"/>
            <w:tcMar>
              <w:top w:w="0" w:type="dxa"/>
              <w:left w:w="108" w:type="dxa"/>
              <w:bottom w:w="0" w:type="dxa"/>
              <w:right w:w="108" w:type="dxa"/>
            </w:tcMar>
            <w:vAlign w:val="center"/>
          </w:tcPr>
          <w:p w14:paraId="223433BA" w14:textId="77777777" w:rsidR="003E4C80" w:rsidRPr="003E4C80" w:rsidRDefault="003E4C80" w:rsidP="000575D3">
            <w:pPr>
              <w:keepNext/>
              <w:snapToGrid w:val="0"/>
              <w:ind w:right="-108"/>
              <w:rPr>
                <w:rFonts w:cstheme="minorHAnsi"/>
                <w:b/>
              </w:rPr>
            </w:pPr>
            <w:r w:rsidRPr="003E4C80">
              <w:rPr>
                <w:rFonts w:cstheme="minorHAnsi"/>
                <w:b/>
              </w:rPr>
              <w:t>Essential</w:t>
            </w:r>
          </w:p>
        </w:tc>
        <w:tc>
          <w:tcPr>
            <w:tcW w:w="96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7B11E04" w14:textId="77777777" w:rsidR="003E4C80" w:rsidRPr="003E4C80" w:rsidRDefault="003E4C80" w:rsidP="000575D3">
            <w:pPr>
              <w:keepNext/>
              <w:snapToGrid w:val="0"/>
              <w:ind w:left="-108" w:right="-108"/>
              <w:jc w:val="center"/>
              <w:rPr>
                <w:rFonts w:cstheme="minorHAnsi"/>
                <w:b/>
                <w:lang w:eastAsia="zh-CN"/>
              </w:rPr>
            </w:pPr>
            <w:r w:rsidRPr="003E4C80">
              <w:rPr>
                <w:rFonts w:cstheme="minorHAnsi"/>
                <w:b/>
                <w:lang w:eastAsia="zh-CN"/>
              </w:rPr>
              <w:t>Desirable</w:t>
            </w:r>
          </w:p>
        </w:tc>
      </w:tr>
      <w:tr w:rsidR="003E4C80" w:rsidRPr="003E4C80" w14:paraId="2B68BC03" w14:textId="77777777" w:rsidTr="000575D3">
        <w:trPr>
          <w:trHeight w:val="506"/>
          <w:jc w:val="center"/>
        </w:trPr>
        <w:tc>
          <w:tcPr>
            <w:tcW w:w="6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A4C880" w14:textId="77777777" w:rsidR="003E4C80" w:rsidRPr="003E4C80" w:rsidRDefault="003E4C80" w:rsidP="000575D3">
            <w:pPr>
              <w:autoSpaceDE w:val="0"/>
              <w:snapToGrid w:val="0"/>
              <w:rPr>
                <w:rFonts w:cstheme="minorHAnsi"/>
                <w:lang w:eastAsia="zh-CN"/>
              </w:rPr>
            </w:pPr>
            <w:r w:rsidRPr="003E4C80">
              <w:rPr>
                <w:rFonts w:cstheme="minorHAnsi"/>
                <w:lang w:eastAsia="zh-CN"/>
              </w:rPr>
              <w:t>Understanding of responsibilities of the Trust and schools in ensuring</w:t>
            </w:r>
          </w:p>
          <w:p w14:paraId="4FACB8BB" w14:textId="77777777" w:rsidR="003E4C80" w:rsidRPr="003E4C80" w:rsidRDefault="003E4C80" w:rsidP="000575D3">
            <w:pPr>
              <w:rPr>
                <w:rFonts w:cstheme="minorHAnsi"/>
                <w:lang w:eastAsia="zh-CN"/>
              </w:rPr>
            </w:pPr>
            <w:r w:rsidRPr="003E4C80">
              <w:rPr>
                <w:rFonts w:cstheme="minorHAnsi"/>
                <w:lang w:eastAsia="zh-CN"/>
              </w:rPr>
              <w:t>compliance with all relevant legislation</w:t>
            </w:r>
          </w:p>
        </w:tc>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7BCCB" w14:textId="77777777" w:rsidR="003E4C80" w:rsidRPr="003E4C80" w:rsidRDefault="003E4C80" w:rsidP="000575D3">
            <w:pPr>
              <w:snapToGrid w:val="0"/>
              <w:jc w:val="center"/>
              <w:rPr>
                <w:rFonts w:eastAsia="Wingdings" w:cstheme="minorHAnsi"/>
                <w:b/>
                <w:lang w:eastAsia="zh-CN"/>
              </w:rPr>
            </w:pPr>
            <w:r w:rsidRPr="003E4C80">
              <w:rPr>
                <w:rFonts w:eastAsia="Wingdings" w:cstheme="minorHAnsi"/>
                <w:b/>
                <w:lang w:eastAsia="zh-CN"/>
              </w:rPr>
              <w:t>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28FEF" w14:textId="77777777" w:rsidR="003E4C80" w:rsidRPr="003E4C80" w:rsidRDefault="003E4C80" w:rsidP="000575D3">
            <w:pPr>
              <w:snapToGrid w:val="0"/>
              <w:jc w:val="center"/>
              <w:rPr>
                <w:rFonts w:cstheme="minorHAnsi"/>
                <w:lang w:eastAsia="zh-CN"/>
              </w:rPr>
            </w:pPr>
          </w:p>
        </w:tc>
      </w:tr>
      <w:tr w:rsidR="003E4C80" w14:paraId="1ADF7048" w14:textId="77777777" w:rsidTr="000575D3">
        <w:trPr>
          <w:trHeight w:val="506"/>
          <w:jc w:val="center"/>
        </w:trPr>
        <w:tc>
          <w:tcPr>
            <w:tcW w:w="6480" w:type="dxa"/>
            <w:tcBorders>
              <w:top w:val="single" w:sz="4" w:space="0" w:color="000000"/>
            </w:tcBorders>
            <w:shd w:val="clear" w:color="auto" w:fill="auto"/>
            <w:tcMar>
              <w:top w:w="0" w:type="dxa"/>
              <w:left w:w="108" w:type="dxa"/>
              <w:bottom w:w="0" w:type="dxa"/>
              <w:right w:w="108" w:type="dxa"/>
            </w:tcMar>
            <w:vAlign w:val="center"/>
          </w:tcPr>
          <w:p w14:paraId="6C01800D" w14:textId="77777777" w:rsidR="003E4C80" w:rsidRDefault="003E4C80" w:rsidP="000575D3">
            <w:pPr>
              <w:rPr>
                <w:rFonts w:ascii="Gill Sans MT" w:hAnsi="Gill Sans MT"/>
                <w:lang w:eastAsia="zh-CN"/>
              </w:rPr>
            </w:pPr>
          </w:p>
          <w:p w14:paraId="109A5F12" w14:textId="77777777" w:rsidR="003E4C80" w:rsidRDefault="003E4C80" w:rsidP="000575D3">
            <w:pPr>
              <w:rPr>
                <w:rFonts w:ascii="Gill Sans MT" w:hAnsi="Gill Sans MT"/>
                <w:lang w:eastAsia="zh-CN"/>
              </w:rPr>
            </w:pPr>
          </w:p>
        </w:tc>
        <w:tc>
          <w:tcPr>
            <w:tcW w:w="960" w:type="dxa"/>
            <w:tcBorders>
              <w:top w:val="single" w:sz="4" w:space="0" w:color="000000"/>
            </w:tcBorders>
            <w:shd w:val="clear" w:color="auto" w:fill="auto"/>
            <w:tcMar>
              <w:top w:w="0" w:type="dxa"/>
              <w:left w:w="108" w:type="dxa"/>
              <w:bottom w:w="0" w:type="dxa"/>
              <w:right w:w="108" w:type="dxa"/>
            </w:tcMar>
            <w:vAlign w:val="center"/>
          </w:tcPr>
          <w:p w14:paraId="0D3E0232" w14:textId="77777777" w:rsidR="003E4C80" w:rsidRDefault="003E4C80" w:rsidP="000575D3">
            <w:pPr>
              <w:jc w:val="center"/>
              <w:rPr>
                <w:rFonts w:ascii="Gill Sans MT" w:eastAsia="Wingdings" w:hAnsi="Gill Sans MT" w:cs="Wingdings"/>
                <w:b/>
                <w:lang w:eastAsia="zh-CN"/>
              </w:rPr>
            </w:pPr>
          </w:p>
        </w:tc>
        <w:tc>
          <w:tcPr>
            <w:tcW w:w="960" w:type="dxa"/>
            <w:tcBorders>
              <w:top w:val="single" w:sz="4" w:space="0" w:color="000000"/>
              <w:right w:val="single" w:sz="4" w:space="0" w:color="FFFFFF"/>
            </w:tcBorders>
            <w:shd w:val="clear" w:color="auto" w:fill="auto"/>
            <w:tcMar>
              <w:top w:w="0" w:type="dxa"/>
              <w:left w:w="108" w:type="dxa"/>
              <w:bottom w:w="0" w:type="dxa"/>
              <w:right w:w="108" w:type="dxa"/>
            </w:tcMar>
            <w:vAlign w:val="center"/>
          </w:tcPr>
          <w:p w14:paraId="1EE6E4AC" w14:textId="77777777" w:rsidR="003E4C80" w:rsidRDefault="003E4C80" w:rsidP="000575D3">
            <w:pPr>
              <w:snapToGrid w:val="0"/>
              <w:jc w:val="center"/>
              <w:rPr>
                <w:rFonts w:ascii="Gill Sans MT" w:hAnsi="Gill Sans MT"/>
                <w:b/>
                <w:lang w:eastAsia="zh-CN"/>
              </w:rPr>
            </w:pPr>
          </w:p>
        </w:tc>
      </w:tr>
    </w:tbl>
    <w:p w14:paraId="0D369A34" w14:textId="77777777" w:rsidR="00752A8C" w:rsidRDefault="00752A8C" w:rsidP="003E4C80"/>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8B2" w14:textId="77777777" w:rsidR="003E4C80" w:rsidRDefault="003E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FCE" w14:textId="77777777" w:rsidR="003E4C80" w:rsidRDefault="003E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651" w14:textId="77777777" w:rsidR="003E4C80" w:rsidRDefault="003E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3187CC54" w:rsidR="001405D4" w:rsidRDefault="003E4C80" w:rsidP="001405D4">
          <w:pPr>
            <w:pStyle w:val="Header"/>
          </w:pPr>
          <w:r>
            <w:rPr>
              <w:noProof/>
              <w:lang w:eastAsia="en-GB"/>
            </w:rPr>
            <w:drawing>
              <wp:inline distT="0" distB="0" distL="0" distR="0" wp14:anchorId="41B67CB2" wp14:editId="10DA8BC3">
                <wp:extent cx="703530" cy="949238"/>
                <wp:effectExtent l="0" t="0" r="1320" b="3262"/>
                <wp:docPr id="2" name="Picture 1" descr="Nottingham Diocese Logo FIN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3530" cy="949238"/>
                        </a:xfrm>
                        <a:prstGeom prst="rect">
                          <a:avLst/>
                        </a:prstGeom>
                        <a:noFill/>
                        <a:ln>
                          <a:noFill/>
                          <a:prstDash/>
                        </a:ln>
                      </pic:spPr>
                    </pic:pic>
                  </a:graphicData>
                </a:graphic>
              </wp:inline>
            </w:drawing>
          </w: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3417363" w14:textId="77777777" w:rsidR="00AE022C" w:rsidRDefault="00AE022C" w:rsidP="001405D4">
    <w:pPr>
      <w:pStyle w:val="Header"/>
    </w:pPr>
  </w:p>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8608" w14:textId="77777777" w:rsidR="003E4C80" w:rsidRDefault="003E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9" w15:restartNumberingAfterBreak="0">
    <w:nsid w:val="5CDD5B8F"/>
    <w:multiLevelType w:val="multilevel"/>
    <w:tmpl w:val="7E9A37D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605D2562"/>
    <w:multiLevelType w:val="multilevel"/>
    <w:tmpl w:val="C81C76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2EC4A54"/>
    <w:multiLevelType w:val="multilevel"/>
    <w:tmpl w:val="5CD4A8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867FF1"/>
    <w:multiLevelType w:val="multilevel"/>
    <w:tmpl w:val="3348C0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7"/>
  </w:num>
  <w:num w:numId="2">
    <w:abstractNumId w:val="12"/>
  </w:num>
  <w:num w:numId="3">
    <w:abstractNumId w:val="4"/>
  </w:num>
  <w:num w:numId="4">
    <w:abstractNumId w:val="8"/>
  </w:num>
  <w:num w:numId="5">
    <w:abstractNumId w:val="0"/>
  </w:num>
  <w:num w:numId="6">
    <w:abstractNumId w:val="5"/>
  </w:num>
  <w:num w:numId="7">
    <w:abstractNumId w:val="13"/>
  </w:num>
  <w:num w:numId="8">
    <w:abstractNumId w:val="3"/>
  </w:num>
  <w:num w:numId="9">
    <w:abstractNumId w:val="2"/>
  </w:num>
  <w:num w:numId="10">
    <w:abstractNumId w:val="6"/>
  </w:num>
  <w:num w:numId="11">
    <w:abstractNumId w:val="1"/>
  </w:num>
  <w:num w:numId="12">
    <w:abstractNumId w:val="9"/>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2B1EFB"/>
    <w:rsid w:val="00301917"/>
    <w:rsid w:val="003E4C80"/>
    <w:rsid w:val="00493FA3"/>
    <w:rsid w:val="004B6779"/>
    <w:rsid w:val="00554F41"/>
    <w:rsid w:val="006139F5"/>
    <w:rsid w:val="006257F1"/>
    <w:rsid w:val="00752A8C"/>
    <w:rsid w:val="00757077"/>
    <w:rsid w:val="0077677C"/>
    <w:rsid w:val="0078254B"/>
    <w:rsid w:val="007C4F4E"/>
    <w:rsid w:val="007E5C7D"/>
    <w:rsid w:val="00824B09"/>
    <w:rsid w:val="008A57F2"/>
    <w:rsid w:val="009B5AD4"/>
    <w:rsid w:val="00AB6CB0"/>
    <w:rsid w:val="00AE022C"/>
    <w:rsid w:val="00AF2006"/>
    <w:rsid w:val="00B14B01"/>
    <w:rsid w:val="00B3631B"/>
    <w:rsid w:val="00B60C09"/>
    <w:rsid w:val="00BA3351"/>
    <w:rsid w:val="00BA4326"/>
    <w:rsid w:val="00BB0C0D"/>
    <w:rsid w:val="00BC1BB0"/>
    <w:rsid w:val="00BC7BCA"/>
    <w:rsid w:val="00C069B6"/>
    <w:rsid w:val="00C513C9"/>
    <w:rsid w:val="00CD6087"/>
    <w:rsid w:val="00D20806"/>
    <w:rsid w:val="00D42A85"/>
    <w:rsid w:val="00DC21C5"/>
    <w:rsid w:val="00E42031"/>
    <w:rsid w:val="00E679DA"/>
    <w:rsid w:val="00EC7F30"/>
    <w:rsid w:val="00ED744C"/>
    <w:rsid w:val="00F13DFD"/>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4</cp:revision>
  <dcterms:created xsi:type="dcterms:W3CDTF">2021-06-02T10:00:00Z</dcterms:created>
  <dcterms:modified xsi:type="dcterms:W3CDTF">2021-06-02T10:46:00Z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